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pPr>
    </w:p>
    <w:p>
      <w:pPr>
        <w:pStyle w:val="25"/>
        <w:rPr>
          <w:b/>
          <w:bCs/>
          <w:sz w:val="130"/>
          <w:szCs w:val="130"/>
        </w:rPr>
      </w:pPr>
      <w:r>
        <w:rPr>
          <w:rFonts w:hint="eastAsia"/>
          <w:b/>
          <w:bCs/>
          <w:sz w:val="130"/>
          <w:szCs w:val="130"/>
        </w:rPr>
        <w:t>政府采购</w:t>
      </w:r>
    </w:p>
    <w:p>
      <w:pPr>
        <w:pStyle w:val="25"/>
        <w:rPr>
          <w:b/>
          <w:bCs/>
          <w:sz w:val="130"/>
          <w:szCs w:val="130"/>
        </w:rPr>
      </w:pPr>
      <w:r>
        <w:rPr>
          <w:rFonts w:hint="eastAsia"/>
          <w:b/>
          <w:bCs/>
          <w:sz w:val="130"/>
          <w:szCs w:val="130"/>
        </w:rPr>
        <w:t>招 标 文 件</w:t>
      </w:r>
    </w:p>
    <w:p>
      <w:pPr>
        <w:pStyle w:val="25"/>
      </w:pPr>
    </w:p>
    <w:p>
      <w:pPr>
        <w:pStyle w:val="25"/>
      </w:pPr>
    </w:p>
    <w:p>
      <w:pPr>
        <w:pStyle w:val="25"/>
      </w:pPr>
    </w:p>
    <w:p>
      <w:pPr>
        <w:pStyle w:val="25"/>
      </w:pPr>
    </w:p>
    <w:p>
      <w:pPr>
        <w:pStyle w:val="7"/>
        <w:rPr>
          <w:b/>
          <w:bCs/>
          <w:sz w:val="36"/>
          <w:szCs w:val="36"/>
        </w:rPr>
      </w:pPr>
      <w:r>
        <w:rPr>
          <w:rFonts w:hint="eastAsia"/>
          <w:b/>
          <w:bCs/>
          <w:sz w:val="36"/>
          <w:szCs w:val="36"/>
        </w:rPr>
        <w:t>项  目  号：GZY23C00318</w:t>
      </w:r>
    </w:p>
    <w:p>
      <w:pPr>
        <w:pStyle w:val="7"/>
        <w:rPr>
          <w:b/>
          <w:bCs/>
          <w:color w:val="auto"/>
          <w:sz w:val="36"/>
          <w:szCs w:val="36"/>
        </w:rPr>
      </w:pPr>
      <w:r>
        <w:rPr>
          <w:rFonts w:hint="eastAsia"/>
          <w:b/>
          <w:bCs/>
          <w:sz w:val="36"/>
          <w:szCs w:val="36"/>
        </w:rPr>
        <w:t>招标项目名称：重庆工程职业技术学院</w:t>
      </w:r>
      <w:r>
        <w:rPr>
          <w:rFonts w:hint="eastAsia" w:ascii="宋体" w:hAnsi="宋体" w:eastAsia="PMingLiU" w:cs="宋体"/>
          <w:b/>
          <w:bCs/>
          <w:i w:val="0"/>
          <w:iCs w:val="0"/>
          <w:caps w:val="0"/>
          <w:color w:val="auto"/>
          <w:spacing w:val="0"/>
          <w:sz w:val="36"/>
          <w:szCs w:val="36"/>
          <w:shd w:val="clear"/>
        </w:rPr>
        <w:t>引进1家共享电动自行车运营商</w:t>
      </w:r>
    </w:p>
    <w:p>
      <w:pPr>
        <w:pStyle w:val="25"/>
      </w:pPr>
    </w:p>
    <w:p>
      <w:pPr>
        <w:pStyle w:val="25"/>
      </w:pPr>
    </w:p>
    <w:p>
      <w:pPr>
        <w:pStyle w:val="25"/>
      </w:pPr>
    </w:p>
    <w:p>
      <w:pPr>
        <w:pStyle w:val="25"/>
        <w:rPr>
          <w:b/>
          <w:bCs/>
          <w:sz w:val="36"/>
          <w:szCs w:val="36"/>
        </w:rPr>
      </w:pPr>
      <w:r>
        <w:rPr>
          <w:rFonts w:hint="eastAsia"/>
          <w:b/>
          <w:bCs/>
          <w:sz w:val="36"/>
          <w:szCs w:val="36"/>
        </w:rPr>
        <w:t>采购人：重庆工程职业技术学院</w:t>
      </w:r>
    </w:p>
    <w:p>
      <w:pPr>
        <w:pStyle w:val="25"/>
        <w:rPr>
          <w:b/>
          <w:bCs/>
          <w:sz w:val="36"/>
          <w:szCs w:val="36"/>
        </w:rPr>
      </w:pPr>
    </w:p>
    <w:p>
      <w:pPr>
        <w:pStyle w:val="25"/>
        <w:rPr>
          <w:b/>
          <w:bCs/>
          <w:sz w:val="36"/>
          <w:szCs w:val="36"/>
        </w:rPr>
      </w:pPr>
      <w:r>
        <w:rPr>
          <w:rFonts w:hint="eastAsia"/>
          <w:b/>
          <w:bCs/>
          <w:sz w:val="36"/>
          <w:szCs w:val="36"/>
        </w:rPr>
        <w:t>二○二三年十二月</w:t>
      </w:r>
    </w:p>
    <w:p>
      <w:pPr>
        <w:ind w:firstLine="480"/>
      </w:pPr>
      <w:bookmarkStart w:id="0" w:name="_Toc1304"/>
      <w:bookmarkStart w:id="1" w:name="_Toc10059"/>
      <w:bookmarkStart w:id="2" w:name="_Toc76373863"/>
      <w:bookmarkStart w:id="3" w:name="_Toc31066"/>
      <w:bookmarkStart w:id="4" w:name="_Toc13868"/>
      <w:bookmarkStart w:id="5" w:name="_Toc123227022"/>
      <w:r>
        <w:rPr>
          <w:rFonts w:hint="eastAsia"/>
        </w:rPr>
        <w:br w:type="page"/>
      </w:r>
    </w:p>
    <w:sdt>
      <w:sdtPr>
        <w:rPr>
          <w:b/>
          <w:bCs/>
          <w:sz w:val="22"/>
          <w:szCs w:val="32"/>
        </w:rPr>
        <w:id w:val="147458839"/>
        <w15:color w:val="DBDBDB"/>
        <w:docPartObj>
          <w:docPartGallery w:val="Table of Contents"/>
          <w:docPartUnique/>
        </w:docPartObj>
      </w:sdtPr>
      <w:sdtEndPr>
        <w:rPr>
          <w:b/>
          <w:bCs/>
          <w:sz w:val="21"/>
          <w:szCs w:val="28"/>
        </w:rPr>
      </w:sdtEndPr>
      <w:sdtContent>
        <w:p>
          <w:pPr>
            <w:spacing w:line="240" w:lineRule="auto"/>
            <w:ind w:firstLine="0" w:firstLineChars="0"/>
            <w:jc w:val="center"/>
            <w:rPr>
              <w:b/>
              <w:bCs/>
              <w:sz w:val="28"/>
              <w:szCs w:val="32"/>
            </w:rPr>
          </w:pPr>
          <w:r>
            <w:rPr>
              <w:b/>
              <w:bCs/>
              <w:sz w:val="22"/>
              <w:szCs w:val="32"/>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_Toc31592 </w:instrText>
          </w:r>
          <w:r>
            <w:fldChar w:fldCharType="separate"/>
          </w:r>
          <w:r>
            <w:rPr>
              <w:rFonts w:hint="eastAsia"/>
            </w:rPr>
            <w:t>第一篇 投标邀请书</w:t>
          </w:r>
          <w:r>
            <w:tab/>
          </w:r>
          <w:r>
            <w:fldChar w:fldCharType="begin"/>
          </w:r>
          <w:r>
            <w:instrText xml:space="preserve"> PAGEREF _Toc31592 \h </w:instrText>
          </w:r>
          <w:r>
            <w:fldChar w:fldCharType="separate"/>
          </w:r>
          <w:r>
            <w:t>1</w:t>
          </w:r>
          <w:r>
            <w:fldChar w:fldCharType="end"/>
          </w:r>
          <w:r>
            <w:fldChar w:fldCharType="end"/>
          </w:r>
        </w:p>
        <w:p>
          <w:pPr>
            <w:pStyle w:val="16"/>
            <w:tabs>
              <w:tab w:val="right" w:leader="dot" w:pos="8306"/>
            </w:tabs>
          </w:pPr>
          <w:r>
            <w:fldChar w:fldCharType="begin"/>
          </w:r>
          <w:r>
            <w:instrText xml:space="preserve"> HYPERLINK \l _Toc11989 </w:instrText>
          </w:r>
          <w:r>
            <w:fldChar w:fldCharType="separate"/>
          </w:r>
          <w:r>
            <w:rPr>
              <w:rFonts w:hint="eastAsia"/>
            </w:rPr>
            <w:t>第二篇  项目服务要求</w:t>
          </w:r>
          <w:r>
            <w:tab/>
          </w:r>
          <w:r>
            <w:fldChar w:fldCharType="begin"/>
          </w:r>
          <w:r>
            <w:instrText xml:space="preserve"> PAGEREF _Toc11989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_Toc6315 </w:instrText>
          </w:r>
          <w:r>
            <w:fldChar w:fldCharType="separate"/>
          </w:r>
          <w:r>
            <w:rPr>
              <w:rFonts w:hint="eastAsia"/>
            </w:rPr>
            <w:t>第三篇  项目商务需求</w:t>
          </w:r>
          <w:r>
            <w:tab/>
          </w:r>
          <w:r>
            <w:fldChar w:fldCharType="begin"/>
          </w:r>
          <w:r>
            <w:instrText xml:space="preserve"> PAGEREF _Toc6315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_Toc21445 </w:instrText>
          </w:r>
          <w:r>
            <w:fldChar w:fldCharType="separate"/>
          </w:r>
          <w:r>
            <w:rPr>
              <w:rFonts w:hint="eastAsia"/>
            </w:rPr>
            <w:t>第四篇  资格审查及评标办法</w:t>
          </w:r>
          <w:r>
            <w:tab/>
          </w:r>
          <w:r>
            <w:fldChar w:fldCharType="begin"/>
          </w:r>
          <w:r>
            <w:instrText xml:space="preserve"> PAGEREF _Toc21445 \h </w:instrText>
          </w:r>
          <w:r>
            <w:fldChar w:fldCharType="separate"/>
          </w:r>
          <w:r>
            <w:t>11</w:t>
          </w:r>
          <w:r>
            <w:fldChar w:fldCharType="end"/>
          </w:r>
          <w:r>
            <w:fldChar w:fldCharType="end"/>
          </w:r>
        </w:p>
        <w:p>
          <w:pPr>
            <w:pStyle w:val="17"/>
            <w:tabs>
              <w:tab w:val="right" w:leader="dot" w:pos="8306"/>
            </w:tabs>
          </w:pPr>
          <w:r>
            <w:fldChar w:fldCharType="begin"/>
          </w:r>
          <w:r>
            <w:instrText xml:space="preserve"> HYPERLINK \l _Toc27095 </w:instrText>
          </w:r>
          <w:r>
            <w:fldChar w:fldCharType="separate"/>
          </w:r>
          <w:r>
            <w:rPr>
              <w:rFonts w:hint="eastAsia"/>
            </w:rPr>
            <w:t>一、资格审查及符合性审查</w:t>
          </w:r>
          <w:r>
            <w:tab/>
          </w:r>
          <w:r>
            <w:fldChar w:fldCharType="begin"/>
          </w:r>
          <w:r>
            <w:instrText xml:space="preserve"> PAGEREF _Toc27095 \h </w:instrText>
          </w:r>
          <w:r>
            <w:fldChar w:fldCharType="separate"/>
          </w:r>
          <w:r>
            <w:t>11</w:t>
          </w:r>
          <w:r>
            <w:fldChar w:fldCharType="end"/>
          </w:r>
          <w:r>
            <w:fldChar w:fldCharType="end"/>
          </w:r>
        </w:p>
        <w:p>
          <w:pPr>
            <w:pStyle w:val="17"/>
            <w:tabs>
              <w:tab w:val="right" w:leader="dot" w:pos="8306"/>
            </w:tabs>
          </w:pPr>
          <w:r>
            <w:fldChar w:fldCharType="begin"/>
          </w:r>
          <w:r>
            <w:instrText xml:space="preserve"> HYPERLINK \l _Toc32241 </w:instrText>
          </w:r>
          <w:r>
            <w:fldChar w:fldCharType="separate"/>
          </w:r>
          <w:r>
            <w:rPr>
              <w:rFonts w:hint="eastAsia"/>
            </w:rPr>
            <w:t>三、评标标准</w:t>
          </w:r>
          <w:r>
            <w:tab/>
          </w:r>
          <w:r>
            <w:fldChar w:fldCharType="begin"/>
          </w:r>
          <w:r>
            <w:instrText xml:space="preserve"> PAGEREF _Toc32241 \h </w:instrText>
          </w:r>
          <w:r>
            <w:fldChar w:fldCharType="separate"/>
          </w:r>
          <w:r>
            <w:t>14</w:t>
          </w:r>
          <w:r>
            <w:fldChar w:fldCharType="end"/>
          </w:r>
          <w:r>
            <w:fldChar w:fldCharType="end"/>
          </w:r>
        </w:p>
        <w:p>
          <w:pPr>
            <w:pStyle w:val="16"/>
            <w:tabs>
              <w:tab w:val="right" w:leader="dot" w:pos="8306"/>
            </w:tabs>
          </w:pPr>
          <w:r>
            <w:fldChar w:fldCharType="begin"/>
          </w:r>
          <w:r>
            <w:instrText xml:space="preserve"> HYPERLINK \l _Toc31077 </w:instrText>
          </w:r>
          <w:r>
            <w:fldChar w:fldCharType="separate"/>
          </w:r>
          <w:r>
            <w:rPr>
              <w:rFonts w:hint="eastAsia"/>
            </w:rPr>
            <w:t>第五篇  投标人须知</w:t>
          </w:r>
          <w:r>
            <w:tab/>
          </w:r>
          <w:r>
            <w:fldChar w:fldCharType="begin"/>
          </w:r>
          <w:r>
            <w:instrText xml:space="preserve"> PAGEREF _Toc31077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_Toc28590 </w:instrText>
          </w:r>
          <w:r>
            <w:fldChar w:fldCharType="separate"/>
          </w:r>
          <w:r>
            <w:rPr>
              <w:rFonts w:hint="eastAsia" w:cs="宋体"/>
            </w:rPr>
            <w:t>一、</w:t>
          </w:r>
          <w:r>
            <w:rPr>
              <w:rFonts w:hint="eastAsia" w:cs="宋体"/>
              <w:lang w:eastAsia="zh-CN"/>
            </w:rPr>
            <w:t>招标</w:t>
          </w:r>
          <w:r>
            <w:rPr>
              <w:rFonts w:hint="eastAsia" w:cs="宋体"/>
            </w:rPr>
            <w:t>费用</w:t>
          </w:r>
          <w:r>
            <w:tab/>
          </w:r>
          <w:r>
            <w:fldChar w:fldCharType="begin"/>
          </w:r>
          <w:r>
            <w:instrText xml:space="preserve"> PAGEREF _Toc28590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_Toc25361 </w:instrText>
          </w:r>
          <w:r>
            <w:fldChar w:fldCharType="separate"/>
          </w:r>
          <w:r>
            <w:rPr>
              <w:rFonts w:hint="eastAsia" w:cs="宋体"/>
            </w:rPr>
            <w:t>二、</w:t>
          </w:r>
          <w:r>
            <w:rPr>
              <w:rFonts w:hint="eastAsia" w:cs="宋体"/>
              <w:lang w:eastAsia="zh-CN"/>
            </w:rPr>
            <w:t>招标</w:t>
          </w:r>
          <w:r>
            <w:rPr>
              <w:rFonts w:hint="eastAsia" w:cs="宋体"/>
            </w:rPr>
            <w:t>文件</w:t>
          </w:r>
          <w:r>
            <w:tab/>
          </w:r>
          <w:r>
            <w:fldChar w:fldCharType="begin"/>
          </w:r>
          <w:r>
            <w:instrText xml:space="preserve"> PAGEREF _Toc25361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_Toc5538 </w:instrText>
          </w:r>
          <w:r>
            <w:fldChar w:fldCharType="separate"/>
          </w:r>
          <w:r>
            <w:rPr>
              <w:rFonts w:hint="eastAsia" w:cs="宋体"/>
            </w:rPr>
            <w:t>三、</w:t>
          </w:r>
          <w:r>
            <w:rPr>
              <w:rFonts w:hint="eastAsia" w:cs="宋体"/>
              <w:lang w:eastAsia="zh-CN"/>
            </w:rPr>
            <w:t>招标</w:t>
          </w:r>
          <w:r>
            <w:rPr>
              <w:rFonts w:hint="eastAsia" w:cs="宋体"/>
            </w:rPr>
            <w:t>要求</w:t>
          </w:r>
          <w:r>
            <w:tab/>
          </w:r>
          <w:r>
            <w:fldChar w:fldCharType="begin"/>
          </w:r>
          <w:r>
            <w:instrText xml:space="preserve"> PAGEREF _Toc5538 \h </w:instrText>
          </w:r>
          <w:r>
            <w:fldChar w:fldCharType="separate"/>
          </w:r>
          <w:r>
            <w:t>19</w:t>
          </w:r>
          <w:r>
            <w:fldChar w:fldCharType="end"/>
          </w:r>
          <w:r>
            <w:fldChar w:fldCharType="end"/>
          </w:r>
        </w:p>
        <w:p>
          <w:pPr>
            <w:pStyle w:val="17"/>
            <w:tabs>
              <w:tab w:val="right" w:leader="dot" w:pos="8306"/>
            </w:tabs>
          </w:pPr>
          <w:r>
            <w:fldChar w:fldCharType="begin"/>
          </w:r>
          <w:r>
            <w:instrText xml:space="preserve"> HYPERLINK \l _Toc26997 </w:instrText>
          </w:r>
          <w:r>
            <w:fldChar w:fldCharType="separate"/>
          </w:r>
          <w:r>
            <w:rPr>
              <w:rFonts w:hint="eastAsia" w:cs="宋体"/>
            </w:rPr>
            <w:t>四、成交供应商的确认和变更</w:t>
          </w:r>
          <w:r>
            <w:tab/>
          </w:r>
          <w:r>
            <w:fldChar w:fldCharType="begin"/>
          </w:r>
          <w:r>
            <w:instrText xml:space="preserve"> PAGEREF _Toc26997 \h </w:instrText>
          </w:r>
          <w:r>
            <w:fldChar w:fldCharType="separate"/>
          </w:r>
          <w:r>
            <w:t>20</w:t>
          </w:r>
          <w:r>
            <w:fldChar w:fldCharType="end"/>
          </w:r>
          <w:r>
            <w:fldChar w:fldCharType="end"/>
          </w:r>
        </w:p>
        <w:p>
          <w:pPr>
            <w:pStyle w:val="17"/>
            <w:tabs>
              <w:tab w:val="right" w:leader="dot" w:pos="8306"/>
            </w:tabs>
          </w:pPr>
          <w:r>
            <w:fldChar w:fldCharType="begin"/>
          </w:r>
          <w:r>
            <w:instrText xml:space="preserve"> HYPERLINK \l _Toc13913 </w:instrText>
          </w:r>
          <w:r>
            <w:fldChar w:fldCharType="separate"/>
          </w:r>
          <w:r>
            <w:rPr>
              <w:rFonts w:hint="eastAsia" w:cs="宋体"/>
            </w:rPr>
            <w:t>五、成交通知</w:t>
          </w:r>
          <w:r>
            <w:tab/>
          </w:r>
          <w:r>
            <w:fldChar w:fldCharType="begin"/>
          </w:r>
          <w:r>
            <w:instrText xml:space="preserve"> PAGEREF _Toc13913 \h </w:instrText>
          </w:r>
          <w:r>
            <w:fldChar w:fldCharType="separate"/>
          </w:r>
          <w:r>
            <w:t>20</w:t>
          </w:r>
          <w:r>
            <w:fldChar w:fldCharType="end"/>
          </w:r>
          <w:r>
            <w:fldChar w:fldCharType="end"/>
          </w:r>
        </w:p>
        <w:p>
          <w:pPr>
            <w:pStyle w:val="17"/>
            <w:tabs>
              <w:tab w:val="right" w:leader="dot" w:pos="8306"/>
            </w:tabs>
          </w:pPr>
          <w:r>
            <w:fldChar w:fldCharType="begin"/>
          </w:r>
          <w:r>
            <w:instrText xml:space="preserve"> HYPERLINK \l _Toc5572 </w:instrText>
          </w:r>
          <w:r>
            <w:fldChar w:fldCharType="separate"/>
          </w:r>
          <w:r>
            <w:rPr>
              <w:rFonts w:hint="eastAsia" w:cs="宋体"/>
            </w:rPr>
            <w:t>六、关于质疑和投诉</w:t>
          </w:r>
          <w:r>
            <w:tab/>
          </w:r>
          <w:r>
            <w:fldChar w:fldCharType="begin"/>
          </w:r>
          <w:r>
            <w:instrText xml:space="preserve"> PAGEREF _Toc5572 \h </w:instrText>
          </w:r>
          <w:r>
            <w:fldChar w:fldCharType="separate"/>
          </w:r>
          <w:r>
            <w:t>21</w:t>
          </w:r>
          <w:r>
            <w:fldChar w:fldCharType="end"/>
          </w:r>
          <w:r>
            <w:fldChar w:fldCharType="end"/>
          </w:r>
        </w:p>
        <w:p>
          <w:pPr>
            <w:pStyle w:val="17"/>
            <w:tabs>
              <w:tab w:val="right" w:leader="dot" w:pos="8306"/>
            </w:tabs>
          </w:pPr>
          <w:r>
            <w:fldChar w:fldCharType="begin"/>
          </w:r>
          <w:r>
            <w:instrText xml:space="preserve"> HYPERLINK \l _Toc1968 </w:instrText>
          </w:r>
          <w:r>
            <w:fldChar w:fldCharType="separate"/>
          </w:r>
          <w:r>
            <w:rPr>
              <w:rFonts w:hint="eastAsia" w:cs="宋体"/>
              <w:szCs w:val="22"/>
            </w:rPr>
            <w:t>七、签订合同</w:t>
          </w:r>
          <w:r>
            <w:tab/>
          </w:r>
          <w:r>
            <w:fldChar w:fldCharType="begin"/>
          </w:r>
          <w:r>
            <w:instrText xml:space="preserve"> PAGEREF _Toc1968 \h </w:instrText>
          </w:r>
          <w:r>
            <w:fldChar w:fldCharType="separate"/>
          </w:r>
          <w:r>
            <w:t>21</w:t>
          </w:r>
          <w:r>
            <w:fldChar w:fldCharType="end"/>
          </w:r>
          <w:r>
            <w:fldChar w:fldCharType="end"/>
          </w:r>
        </w:p>
        <w:p>
          <w:pPr>
            <w:pStyle w:val="16"/>
            <w:tabs>
              <w:tab w:val="right" w:leader="dot" w:pos="8306"/>
            </w:tabs>
          </w:pPr>
          <w:r>
            <w:fldChar w:fldCharType="begin"/>
          </w:r>
          <w:r>
            <w:instrText xml:space="preserve"> HYPERLINK \l _Toc6673 </w:instrText>
          </w:r>
          <w:r>
            <w:fldChar w:fldCharType="separate"/>
          </w:r>
          <w:r>
            <w:rPr>
              <w:rFonts w:hint="eastAsia"/>
            </w:rPr>
            <w:t>第六篇  合同主要条款和格式合同（样本）</w:t>
          </w:r>
          <w:r>
            <w:tab/>
          </w:r>
          <w:r>
            <w:fldChar w:fldCharType="begin"/>
          </w:r>
          <w:r>
            <w:instrText xml:space="preserve"> PAGEREF _Toc6673 \h </w:instrText>
          </w:r>
          <w:r>
            <w:fldChar w:fldCharType="separate"/>
          </w:r>
          <w:r>
            <w:t>22</w:t>
          </w:r>
          <w:r>
            <w:fldChar w:fldCharType="end"/>
          </w:r>
          <w:r>
            <w:fldChar w:fldCharType="end"/>
          </w:r>
        </w:p>
        <w:p>
          <w:pPr>
            <w:pStyle w:val="17"/>
            <w:tabs>
              <w:tab w:val="right" w:leader="dot" w:pos="8306"/>
            </w:tabs>
          </w:pPr>
          <w:r>
            <w:fldChar w:fldCharType="begin"/>
          </w:r>
          <w:r>
            <w:instrText xml:space="preserve"> HYPERLINK \l _Toc8304 </w:instrText>
          </w:r>
          <w:r>
            <w:fldChar w:fldCharType="separate"/>
          </w:r>
          <w:r>
            <w:rPr>
              <w:rFonts w:hint="eastAsia"/>
            </w:rPr>
            <w:t>一、合同主要条款</w:t>
          </w:r>
          <w:r>
            <w:tab/>
          </w:r>
          <w:r>
            <w:fldChar w:fldCharType="begin"/>
          </w:r>
          <w:r>
            <w:instrText xml:space="preserve"> PAGEREF _Toc8304 \h </w:instrText>
          </w:r>
          <w:r>
            <w:fldChar w:fldCharType="separate"/>
          </w:r>
          <w:r>
            <w:t>22</w:t>
          </w:r>
          <w:r>
            <w:fldChar w:fldCharType="end"/>
          </w:r>
          <w:r>
            <w:fldChar w:fldCharType="end"/>
          </w:r>
        </w:p>
        <w:p>
          <w:pPr>
            <w:pStyle w:val="17"/>
            <w:tabs>
              <w:tab w:val="right" w:leader="dot" w:pos="8306"/>
            </w:tabs>
          </w:pPr>
          <w:r>
            <w:fldChar w:fldCharType="begin"/>
          </w:r>
          <w:r>
            <w:instrText xml:space="preserve"> HYPERLINK \l _Toc13054 </w:instrText>
          </w:r>
          <w:r>
            <w:fldChar w:fldCharType="separate"/>
          </w:r>
          <w:r>
            <w:rPr>
              <w:rFonts w:hint="eastAsia"/>
            </w:rPr>
            <w:t>二、政府采购合同（格式）</w:t>
          </w:r>
          <w:r>
            <w:tab/>
          </w:r>
          <w:r>
            <w:fldChar w:fldCharType="begin"/>
          </w:r>
          <w:r>
            <w:instrText xml:space="preserve"> PAGEREF _Toc13054 \h </w:instrText>
          </w:r>
          <w:r>
            <w:fldChar w:fldCharType="separate"/>
          </w:r>
          <w:r>
            <w:t>25</w:t>
          </w:r>
          <w:r>
            <w:fldChar w:fldCharType="end"/>
          </w:r>
          <w:r>
            <w:fldChar w:fldCharType="end"/>
          </w:r>
        </w:p>
        <w:p>
          <w:pPr>
            <w:pStyle w:val="16"/>
            <w:tabs>
              <w:tab w:val="right" w:leader="dot" w:pos="8306"/>
            </w:tabs>
          </w:pPr>
          <w:r>
            <w:fldChar w:fldCharType="begin"/>
          </w:r>
          <w:r>
            <w:instrText xml:space="preserve"> HYPERLINK \l _Toc12228 </w:instrText>
          </w:r>
          <w:r>
            <w:fldChar w:fldCharType="separate"/>
          </w:r>
          <w:r>
            <w:rPr>
              <w:rFonts w:hint="eastAsia"/>
            </w:rPr>
            <w:t>第七篇  响应文件编制要求</w:t>
          </w:r>
          <w:r>
            <w:tab/>
          </w:r>
          <w:r>
            <w:fldChar w:fldCharType="begin"/>
          </w:r>
          <w:r>
            <w:instrText xml:space="preserve"> PAGEREF _Toc12228 \h </w:instrText>
          </w:r>
          <w:r>
            <w:fldChar w:fldCharType="separate"/>
          </w:r>
          <w:r>
            <w:t>33</w:t>
          </w:r>
          <w:r>
            <w:fldChar w:fldCharType="end"/>
          </w:r>
          <w:r>
            <w:fldChar w:fldCharType="end"/>
          </w:r>
        </w:p>
        <w:p>
          <w:pPr>
            <w:pStyle w:val="17"/>
            <w:tabs>
              <w:tab w:val="right" w:leader="dot" w:pos="8306"/>
            </w:tabs>
          </w:pPr>
          <w:r>
            <w:fldChar w:fldCharType="begin"/>
          </w:r>
          <w:r>
            <w:instrText xml:space="preserve"> HYPERLINK \l _Toc27602 </w:instrText>
          </w:r>
          <w:r>
            <w:fldChar w:fldCharType="separate"/>
          </w:r>
          <w:r>
            <w:rPr>
              <w:rFonts w:hint="eastAsia"/>
            </w:rPr>
            <w:t>一、经济文件</w:t>
          </w:r>
          <w:r>
            <w:tab/>
          </w:r>
          <w:r>
            <w:fldChar w:fldCharType="begin"/>
          </w:r>
          <w:r>
            <w:instrText xml:space="preserve"> PAGEREF _Toc27602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_Toc29049 </w:instrText>
          </w:r>
          <w:r>
            <w:fldChar w:fldCharType="separate"/>
          </w:r>
          <w:r>
            <w:rPr>
              <w:rFonts w:hint="eastAsia"/>
            </w:rPr>
            <w:t>（一）开标一览表</w:t>
          </w:r>
          <w:r>
            <w:tab/>
          </w:r>
          <w:r>
            <w:fldChar w:fldCharType="begin"/>
          </w:r>
          <w:r>
            <w:instrText xml:space="preserve"> PAGEREF _Toc29049 \h </w:instrText>
          </w:r>
          <w:r>
            <w:fldChar w:fldCharType="separate"/>
          </w:r>
          <w:r>
            <w:t>34</w:t>
          </w:r>
          <w:r>
            <w:fldChar w:fldCharType="end"/>
          </w:r>
          <w:r>
            <w:fldChar w:fldCharType="end"/>
          </w:r>
        </w:p>
        <w:p>
          <w:pPr>
            <w:pStyle w:val="10"/>
            <w:tabs>
              <w:tab w:val="right" w:leader="dot" w:pos="8306"/>
            </w:tabs>
          </w:pPr>
          <w:r>
            <w:fldChar w:fldCharType="begin"/>
          </w:r>
          <w:r>
            <w:instrText xml:space="preserve"> HYPERLINK \l _Toc64 </w:instrText>
          </w:r>
          <w:r>
            <w:fldChar w:fldCharType="separate"/>
          </w:r>
          <w:r>
            <w:rPr>
              <w:rFonts w:hint="eastAsia"/>
            </w:rPr>
            <w:t>（二）分项报价明细表</w:t>
          </w:r>
          <w:r>
            <w:tab/>
          </w:r>
          <w:r>
            <w:fldChar w:fldCharType="begin"/>
          </w:r>
          <w:r>
            <w:instrText xml:space="preserve"> PAGEREF _Toc64 \h </w:instrText>
          </w:r>
          <w:r>
            <w:fldChar w:fldCharType="separate"/>
          </w:r>
          <w:r>
            <w:t>35</w:t>
          </w:r>
          <w:r>
            <w:fldChar w:fldCharType="end"/>
          </w:r>
          <w:r>
            <w:fldChar w:fldCharType="end"/>
          </w:r>
        </w:p>
        <w:p>
          <w:pPr>
            <w:pStyle w:val="17"/>
            <w:tabs>
              <w:tab w:val="right" w:leader="dot" w:pos="8306"/>
            </w:tabs>
          </w:pPr>
          <w:r>
            <w:fldChar w:fldCharType="begin"/>
          </w:r>
          <w:r>
            <w:instrText xml:space="preserve"> HYPERLINK \l _Toc19752 </w:instrText>
          </w:r>
          <w:r>
            <w:fldChar w:fldCharType="separate"/>
          </w:r>
          <w:r>
            <w:rPr>
              <w:rFonts w:hint="eastAsia"/>
            </w:rPr>
            <w:t>二、技术（质量）文件</w:t>
          </w:r>
          <w:r>
            <w:tab/>
          </w:r>
          <w:r>
            <w:fldChar w:fldCharType="begin"/>
          </w:r>
          <w:r>
            <w:instrText xml:space="preserve"> PAGEREF _Toc19752 \h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_Toc12648 </w:instrText>
          </w:r>
          <w:r>
            <w:fldChar w:fldCharType="separate"/>
          </w:r>
          <w:r>
            <w:rPr>
              <w:rFonts w:hint="eastAsia"/>
            </w:rPr>
            <w:t>（一）技术（质量）条款差异表</w:t>
          </w:r>
          <w:r>
            <w:tab/>
          </w:r>
          <w:r>
            <w:fldChar w:fldCharType="begin"/>
          </w:r>
          <w:r>
            <w:instrText xml:space="preserve"> PAGEREF _Toc12648 \h </w:instrText>
          </w:r>
          <w:r>
            <w:fldChar w:fldCharType="separate"/>
          </w:r>
          <w:r>
            <w:t>36</w:t>
          </w:r>
          <w:r>
            <w:fldChar w:fldCharType="end"/>
          </w:r>
          <w:r>
            <w:fldChar w:fldCharType="end"/>
          </w:r>
        </w:p>
        <w:p>
          <w:pPr>
            <w:pStyle w:val="10"/>
            <w:tabs>
              <w:tab w:val="right" w:leader="dot" w:pos="8306"/>
            </w:tabs>
          </w:pPr>
          <w:r>
            <w:fldChar w:fldCharType="begin"/>
          </w:r>
          <w:r>
            <w:instrText xml:space="preserve"> HYPERLINK \l _Toc16309 </w:instrText>
          </w:r>
          <w:r>
            <w:fldChar w:fldCharType="separate"/>
          </w:r>
          <w:r>
            <w:rPr>
              <w:rFonts w:hint="eastAsia"/>
            </w:rPr>
            <w:t>（二）其他技术（质量）资料</w:t>
          </w:r>
          <w:r>
            <w:tab/>
          </w:r>
          <w:r>
            <w:fldChar w:fldCharType="begin"/>
          </w:r>
          <w:r>
            <w:instrText xml:space="preserve"> PAGEREF _Toc16309 \h </w:instrText>
          </w:r>
          <w:r>
            <w:fldChar w:fldCharType="separate"/>
          </w:r>
          <w:r>
            <w:t>37</w:t>
          </w:r>
          <w:r>
            <w:fldChar w:fldCharType="end"/>
          </w:r>
          <w:r>
            <w:fldChar w:fldCharType="end"/>
          </w:r>
        </w:p>
        <w:p>
          <w:pPr>
            <w:pStyle w:val="17"/>
            <w:tabs>
              <w:tab w:val="right" w:leader="dot" w:pos="8306"/>
            </w:tabs>
          </w:pPr>
          <w:r>
            <w:fldChar w:fldCharType="begin"/>
          </w:r>
          <w:r>
            <w:instrText xml:space="preserve"> HYPERLINK \l _Toc20437 </w:instrText>
          </w:r>
          <w:r>
            <w:fldChar w:fldCharType="separate"/>
          </w:r>
          <w:r>
            <w:rPr>
              <w:rFonts w:hint="eastAsia"/>
            </w:rPr>
            <w:t>三、商务文件</w:t>
          </w:r>
          <w:r>
            <w:tab/>
          </w:r>
          <w:r>
            <w:fldChar w:fldCharType="begin"/>
          </w:r>
          <w:r>
            <w:instrText xml:space="preserve"> PAGEREF _Toc20437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_Toc27086 </w:instrText>
          </w:r>
          <w:r>
            <w:fldChar w:fldCharType="separate"/>
          </w:r>
          <w:r>
            <w:rPr>
              <w:rFonts w:hint="eastAsia"/>
            </w:rPr>
            <w:t>（一）投标函（格式）</w:t>
          </w:r>
          <w:r>
            <w:tab/>
          </w:r>
          <w:r>
            <w:fldChar w:fldCharType="begin"/>
          </w:r>
          <w:r>
            <w:instrText xml:space="preserve"> PAGEREF _Toc27086 \h </w:instrText>
          </w:r>
          <w:r>
            <w:fldChar w:fldCharType="separate"/>
          </w:r>
          <w:r>
            <w:t>38</w:t>
          </w:r>
          <w:r>
            <w:fldChar w:fldCharType="end"/>
          </w:r>
          <w:r>
            <w:fldChar w:fldCharType="end"/>
          </w:r>
        </w:p>
        <w:p>
          <w:pPr>
            <w:pStyle w:val="10"/>
            <w:tabs>
              <w:tab w:val="right" w:leader="dot" w:pos="8306"/>
            </w:tabs>
          </w:pPr>
          <w:r>
            <w:fldChar w:fldCharType="begin"/>
          </w:r>
          <w:r>
            <w:instrText xml:space="preserve"> HYPERLINK \l _Toc2699 </w:instrText>
          </w:r>
          <w:r>
            <w:fldChar w:fldCharType="separate"/>
          </w:r>
          <w:r>
            <w:rPr>
              <w:rFonts w:hint="eastAsia"/>
            </w:rPr>
            <w:t>（二）商务条款差异表</w:t>
          </w:r>
          <w:r>
            <w:tab/>
          </w:r>
          <w:r>
            <w:fldChar w:fldCharType="begin"/>
          </w:r>
          <w:r>
            <w:instrText xml:space="preserve"> PAGEREF _Toc2699 \h </w:instrText>
          </w:r>
          <w:r>
            <w:fldChar w:fldCharType="separate"/>
          </w:r>
          <w:r>
            <w:t>39</w:t>
          </w:r>
          <w:r>
            <w:fldChar w:fldCharType="end"/>
          </w:r>
          <w:r>
            <w:fldChar w:fldCharType="end"/>
          </w:r>
        </w:p>
        <w:p>
          <w:pPr>
            <w:pStyle w:val="10"/>
            <w:tabs>
              <w:tab w:val="right" w:leader="dot" w:pos="8306"/>
            </w:tabs>
          </w:pPr>
          <w:r>
            <w:fldChar w:fldCharType="begin"/>
          </w:r>
          <w:r>
            <w:instrText xml:space="preserve"> HYPERLINK \l _Toc13128 </w:instrText>
          </w:r>
          <w:r>
            <w:fldChar w:fldCharType="separate"/>
          </w:r>
          <w:r>
            <w:rPr>
              <w:rFonts w:hint="eastAsia"/>
            </w:rPr>
            <w:t>（三）其他商务资料</w:t>
          </w:r>
          <w:r>
            <w:tab/>
          </w:r>
          <w:r>
            <w:fldChar w:fldCharType="begin"/>
          </w:r>
          <w:r>
            <w:instrText xml:space="preserve"> PAGEREF _Toc13128 \h </w:instrText>
          </w:r>
          <w:r>
            <w:fldChar w:fldCharType="separate"/>
          </w:r>
          <w:r>
            <w:t>40</w:t>
          </w:r>
          <w:r>
            <w:fldChar w:fldCharType="end"/>
          </w:r>
          <w:r>
            <w:fldChar w:fldCharType="end"/>
          </w:r>
        </w:p>
        <w:p>
          <w:pPr>
            <w:pStyle w:val="17"/>
            <w:tabs>
              <w:tab w:val="right" w:leader="dot" w:pos="8306"/>
            </w:tabs>
          </w:pPr>
          <w:r>
            <w:fldChar w:fldCharType="begin"/>
          </w:r>
          <w:r>
            <w:instrText xml:space="preserve"> HYPERLINK \l _Toc21345 </w:instrText>
          </w:r>
          <w:r>
            <w:fldChar w:fldCharType="separate"/>
          </w:r>
          <w:r>
            <w:rPr>
              <w:rFonts w:hint="eastAsia"/>
            </w:rPr>
            <w:t>四、其他</w:t>
          </w:r>
          <w:r>
            <w:tab/>
          </w:r>
          <w:r>
            <w:fldChar w:fldCharType="begin"/>
          </w:r>
          <w:r>
            <w:instrText xml:space="preserve"> PAGEREF _Toc21345 \h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_Toc12948 </w:instrText>
          </w:r>
          <w:r>
            <w:fldChar w:fldCharType="separate"/>
          </w:r>
          <w:r>
            <w:rPr>
              <w:rFonts w:hint="eastAsia"/>
            </w:rPr>
            <w:t>（一）中小企业声明函、监狱企业证明文件、残疾人福利性单位声明函</w:t>
          </w:r>
          <w:r>
            <w:tab/>
          </w:r>
          <w:r>
            <w:fldChar w:fldCharType="begin"/>
          </w:r>
          <w:r>
            <w:instrText xml:space="preserve"> PAGEREF _Toc12948 \h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_Toc27444 </w:instrText>
          </w:r>
          <w:r>
            <w:fldChar w:fldCharType="separate"/>
          </w:r>
          <w:r>
            <w:rPr>
              <w:rFonts w:hint="eastAsia"/>
            </w:rPr>
            <w:t>（二）其他与项目有关的资料（自附）</w:t>
          </w:r>
          <w:r>
            <w:tab/>
          </w:r>
          <w:r>
            <w:fldChar w:fldCharType="begin"/>
          </w:r>
          <w:r>
            <w:instrText xml:space="preserve"> PAGEREF _Toc27444 \h </w:instrText>
          </w:r>
          <w:r>
            <w:fldChar w:fldCharType="separate"/>
          </w:r>
          <w:r>
            <w:t>46</w:t>
          </w:r>
          <w:r>
            <w:fldChar w:fldCharType="end"/>
          </w:r>
          <w:r>
            <w:fldChar w:fldCharType="end"/>
          </w:r>
        </w:p>
        <w:p>
          <w:pPr>
            <w:pStyle w:val="17"/>
            <w:tabs>
              <w:tab w:val="right" w:leader="dot" w:pos="8306"/>
            </w:tabs>
          </w:pPr>
          <w:r>
            <w:fldChar w:fldCharType="begin"/>
          </w:r>
          <w:r>
            <w:instrText xml:space="preserve"> HYPERLINK \l _Toc16539 </w:instrText>
          </w:r>
          <w:r>
            <w:fldChar w:fldCharType="separate"/>
          </w:r>
          <w:r>
            <w:rPr>
              <w:rFonts w:hint="eastAsia"/>
            </w:rPr>
            <w:t>五、资格文件</w:t>
          </w:r>
          <w:r>
            <w:tab/>
          </w:r>
          <w:r>
            <w:fldChar w:fldCharType="begin"/>
          </w:r>
          <w:r>
            <w:instrText xml:space="preserve"> PAGEREF _Toc16539 \h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_Toc31933 </w:instrText>
          </w:r>
          <w:r>
            <w:fldChar w:fldCharType="separate"/>
          </w:r>
          <w:r>
            <w:rPr>
              <w:rFonts w:hint="eastAsia"/>
            </w:rPr>
            <w:t>（一）法人营业执照（副本）或事业单位法人证书（副本）或个体工商户营业执照或有效的自然人身份证明或社会团体法人登记证书复印件</w:t>
          </w:r>
          <w:r>
            <w:tab/>
          </w:r>
          <w:r>
            <w:fldChar w:fldCharType="begin"/>
          </w:r>
          <w:r>
            <w:instrText xml:space="preserve"> PAGEREF _Toc31933 \h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_Toc9414 </w:instrText>
          </w:r>
          <w:r>
            <w:fldChar w:fldCharType="separate"/>
          </w:r>
          <w:r>
            <w:rPr>
              <w:rFonts w:hint="eastAsia"/>
            </w:rPr>
            <w:t>（二）法定代表人身份证明书（格式）</w:t>
          </w:r>
          <w:r>
            <w:tab/>
          </w:r>
          <w:r>
            <w:fldChar w:fldCharType="begin"/>
          </w:r>
          <w:r>
            <w:instrText xml:space="preserve"> PAGEREF _Toc9414 \h </w:instrText>
          </w:r>
          <w:r>
            <w:fldChar w:fldCharType="separate"/>
          </w:r>
          <w:r>
            <w:t>48</w:t>
          </w:r>
          <w:r>
            <w:fldChar w:fldCharType="end"/>
          </w:r>
          <w:r>
            <w:fldChar w:fldCharType="end"/>
          </w:r>
        </w:p>
        <w:p>
          <w:pPr>
            <w:pStyle w:val="10"/>
            <w:tabs>
              <w:tab w:val="right" w:leader="dot" w:pos="8306"/>
            </w:tabs>
          </w:pPr>
          <w:r>
            <w:fldChar w:fldCharType="begin"/>
          </w:r>
          <w:r>
            <w:instrText xml:space="preserve"> HYPERLINK \l _Toc8974 </w:instrText>
          </w:r>
          <w:r>
            <w:fldChar w:fldCharType="separate"/>
          </w:r>
          <w:r>
            <w:rPr>
              <w:rFonts w:hint="eastAsia"/>
            </w:rPr>
            <w:t>（三）法定代表人授权委托书（格式）</w:t>
          </w:r>
          <w:r>
            <w:tab/>
          </w:r>
          <w:r>
            <w:fldChar w:fldCharType="begin"/>
          </w:r>
          <w:r>
            <w:instrText xml:space="preserve"> PAGEREF _Toc8974 \h </w:instrText>
          </w:r>
          <w:r>
            <w:fldChar w:fldCharType="separate"/>
          </w:r>
          <w:r>
            <w:t>49</w:t>
          </w:r>
          <w:r>
            <w:fldChar w:fldCharType="end"/>
          </w:r>
          <w:r>
            <w:fldChar w:fldCharType="end"/>
          </w:r>
        </w:p>
        <w:p>
          <w:pPr>
            <w:pStyle w:val="10"/>
            <w:tabs>
              <w:tab w:val="right" w:leader="dot" w:pos="8306"/>
            </w:tabs>
          </w:pPr>
          <w:r>
            <w:fldChar w:fldCharType="begin"/>
          </w:r>
          <w:r>
            <w:instrText xml:space="preserve"> HYPERLINK \l _Toc25087 </w:instrText>
          </w:r>
          <w:r>
            <w:fldChar w:fldCharType="separate"/>
          </w:r>
          <w:r>
            <w:rPr>
              <w:rFonts w:hint="eastAsia"/>
            </w:rPr>
            <w:t>（四）基本资格条件承诺函（格式）</w:t>
          </w:r>
          <w:r>
            <w:tab/>
          </w:r>
          <w:r>
            <w:fldChar w:fldCharType="begin"/>
          </w:r>
          <w:r>
            <w:instrText xml:space="preserve"> PAGEREF _Toc25087 \h </w:instrText>
          </w:r>
          <w:r>
            <w:fldChar w:fldCharType="separate"/>
          </w:r>
          <w:r>
            <w:t>50</w:t>
          </w:r>
          <w:r>
            <w:fldChar w:fldCharType="end"/>
          </w:r>
          <w:r>
            <w:fldChar w:fldCharType="end"/>
          </w:r>
        </w:p>
        <w:p>
          <w:pPr>
            <w:ind w:firstLine="480"/>
          </w:pPr>
          <w:r>
            <w:fldChar w:fldCharType="end"/>
          </w:r>
        </w:p>
      </w:sdtContent>
    </w:sdt>
    <w:p>
      <w:pPr>
        <w:ind w:firstLine="480"/>
      </w:pPr>
      <w:r>
        <w:rPr>
          <w:rFonts w:hint="eastAsia"/>
        </w:rPr>
        <w:br w:type="page"/>
      </w:r>
    </w:p>
    <w:p>
      <w:pPr>
        <w:ind w:firstLine="480"/>
        <w:sectPr>
          <w:headerReference r:id="rId5" w:type="default"/>
          <w:pgSz w:w="11906" w:h="16838"/>
          <w:pgMar w:top="1440" w:right="1800" w:bottom="1440" w:left="1800" w:header="851" w:footer="992" w:gutter="0"/>
          <w:cols w:space="425" w:num="1"/>
          <w:docGrid w:type="lines" w:linePitch="312" w:charSpace="0"/>
        </w:sectPr>
      </w:pPr>
    </w:p>
    <w:p>
      <w:pPr>
        <w:pStyle w:val="3"/>
      </w:pPr>
      <w:bookmarkStart w:id="6" w:name="_Toc17172"/>
      <w:bookmarkStart w:id="7" w:name="_Toc20223"/>
      <w:bookmarkStart w:id="8" w:name="_Toc31592"/>
      <w:r>
        <w:rPr>
          <w:rFonts w:hint="eastAsia"/>
        </w:rPr>
        <w:t>第一篇 投标邀请书</w:t>
      </w:r>
      <w:bookmarkEnd w:id="0"/>
      <w:bookmarkEnd w:id="1"/>
      <w:bookmarkEnd w:id="2"/>
      <w:bookmarkEnd w:id="3"/>
      <w:bookmarkEnd w:id="4"/>
      <w:bookmarkEnd w:id="5"/>
      <w:bookmarkEnd w:id="6"/>
      <w:bookmarkEnd w:id="7"/>
      <w:bookmarkEnd w:id="8"/>
    </w:p>
    <w:p>
      <w:pPr>
        <w:pStyle w:val="32"/>
        <w:snapToGrid w:val="0"/>
        <w:spacing w:line="400" w:lineRule="exact"/>
        <w:ind w:firstLine="480" w:firstLineChars="200"/>
        <w:textAlignment w:val="baseline"/>
        <w:rPr>
          <w:rFonts w:hint="eastAsia" w:ascii="宋体" w:hAnsi="宋体" w:eastAsia="宋体" w:cs="宋体"/>
          <w:kern w:val="2"/>
          <w:sz w:val="24"/>
          <w:szCs w:val="24"/>
        </w:rPr>
      </w:pPr>
      <w:r>
        <w:rPr>
          <w:rFonts w:hint="eastAsia" w:ascii="宋体" w:hAnsi="宋体" w:eastAsia="宋体" w:cs="宋体"/>
          <w:kern w:val="2"/>
          <w:sz w:val="24"/>
          <w:szCs w:val="24"/>
        </w:rPr>
        <w:t>重庆工程职业技术学院（以下简称“采购人”），准备在近期对</w:t>
      </w:r>
      <w:r>
        <w:rPr>
          <w:rFonts w:hint="eastAsia" w:ascii="宋体" w:hAnsi="宋体" w:eastAsia="宋体" w:cs="宋体"/>
          <w:kern w:val="2"/>
          <w:sz w:val="24"/>
          <w:szCs w:val="24"/>
          <w:lang w:eastAsia="zh-CN"/>
        </w:rPr>
        <w:t>重庆工程职业技术学院共享电动自行车运营</w:t>
      </w:r>
      <w:r>
        <w:rPr>
          <w:rFonts w:hint="eastAsia" w:ascii="宋体" w:hAnsi="宋体" w:eastAsia="宋体" w:cs="宋体"/>
          <w:kern w:val="2"/>
          <w:sz w:val="24"/>
          <w:szCs w:val="24"/>
          <w:lang w:val="en-US" w:eastAsia="zh-CN"/>
        </w:rPr>
        <w:t>项目</w:t>
      </w:r>
      <w:r>
        <w:rPr>
          <w:rFonts w:hint="eastAsia" w:ascii="宋体" w:hAnsi="宋体" w:eastAsia="宋体" w:cs="宋体"/>
          <w:kern w:val="2"/>
          <w:sz w:val="24"/>
          <w:szCs w:val="24"/>
        </w:rPr>
        <w:t>进行公开招标，欢迎有资格的投标人参加投标。</w:t>
      </w:r>
    </w:p>
    <w:p>
      <w:pPr>
        <w:ind w:firstLine="482"/>
        <w:rPr>
          <w:b/>
          <w:bCs/>
          <w:highlight w:val="none"/>
        </w:rPr>
      </w:pPr>
      <w:bookmarkStart w:id="9" w:name="_Toc22435"/>
      <w:bookmarkStart w:id="10" w:name="_Toc15376"/>
      <w:bookmarkStart w:id="11" w:name="_Toc28264"/>
      <w:bookmarkStart w:id="12" w:name="_Toc76373864"/>
      <w:bookmarkStart w:id="13" w:name="_Toc5909"/>
      <w:bookmarkStart w:id="14" w:name="_Toc123227023"/>
      <w:r>
        <w:rPr>
          <w:rFonts w:hint="eastAsia"/>
          <w:b/>
          <w:bCs/>
          <w:highlight w:val="none"/>
        </w:rPr>
        <w:t>一、招标项目内容</w:t>
      </w:r>
      <w:bookmarkEnd w:id="9"/>
      <w:bookmarkEnd w:id="10"/>
      <w:bookmarkEnd w:id="11"/>
      <w:bookmarkEnd w:id="12"/>
      <w:bookmarkEnd w:id="13"/>
      <w:bookmarkEnd w:id="14"/>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2267"/>
        <w:gridCol w:w="1304"/>
        <w:gridCol w:w="961"/>
        <w:gridCol w:w="794"/>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659" w:type="pct"/>
            <w:tcBorders>
              <w:tl2br w:val="nil"/>
            </w:tcBorders>
            <w:shd w:val="clear" w:color="auto" w:fill="FFFFFF"/>
            <w:vAlign w:val="center"/>
          </w:tcPr>
          <w:p>
            <w:pPr>
              <w:pStyle w:val="25"/>
              <w:rPr>
                <w:bCs/>
                <w:color w:val="000000"/>
              </w:rPr>
            </w:pPr>
            <w:bookmarkStart w:id="15" w:name="_Toc22129"/>
            <w:bookmarkStart w:id="16" w:name="_Toc22707"/>
            <w:bookmarkStart w:id="17" w:name="_Toc76373865"/>
            <w:bookmarkStart w:id="18" w:name="_Toc18060"/>
            <w:bookmarkStart w:id="19" w:name="_Toc5838"/>
            <w:bookmarkStart w:id="20" w:name="_Toc123227024"/>
            <w:r>
              <w:rPr>
                <w:rFonts w:hint="eastAsia"/>
                <w:bCs/>
                <w:color w:val="000000"/>
              </w:rPr>
              <w:t>名称</w:t>
            </w:r>
          </w:p>
        </w:tc>
        <w:tc>
          <w:tcPr>
            <w:tcW w:w="1330" w:type="pct"/>
            <w:shd w:val="clear" w:color="auto" w:fill="FFFFFF"/>
            <w:vAlign w:val="center"/>
          </w:tcPr>
          <w:p>
            <w:pPr>
              <w:pStyle w:val="25"/>
              <w:rPr>
                <w:bCs/>
                <w:color w:val="000000"/>
              </w:rPr>
            </w:pPr>
            <w:r>
              <w:rPr>
                <w:rFonts w:hint="eastAsia"/>
                <w:bCs/>
                <w:color w:val="000000"/>
              </w:rPr>
              <w:t>最高收费限价</w:t>
            </w:r>
          </w:p>
        </w:tc>
        <w:tc>
          <w:tcPr>
            <w:tcW w:w="765" w:type="pct"/>
            <w:shd w:val="clear" w:color="auto" w:fill="FFFFFF"/>
            <w:vAlign w:val="center"/>
          </w:tcPr>
          <w:p>
            <w:pPr>
              <w:pStyle w:val="25"/>
              <w:rPr>
                <w:bCs/>
                <w:color w:val="000000"/>
              </w:rPr>
            </w:pPr>
            <w:r>
              <w:rPr>
                <w:rFonts w:hint="eastAsia"/>
                <w:bCs/>
                <w:color w:val="000000"/>
                <w:lang w:val="en-US" w:eastAsia="zh-CN"/>
              </w:rPr>
              <w:t>投标</w:t>
            </w:r>
            <w:r>
              <w:rPr>
                <w:rFonts w:hint="eastAsia"/>
                <w:bCs/>
                <w:color w:val="000000"/>
              </w:rPr>
              <w:t>保证金（万元）</w:t>
            </w:r>
          </w:p>
        </w:tc>
        <w:tc>
          <w:tcPr>
            <w:tcW w:w="564" w:type="pct"/>
            <w:shd w:val="clear" w:color="auto" w:fill="FFFFFF"/>
            <w:vAlign w:val="center"/>
          </w:tcPr>
          <w:p>
            <w:pPr>
              <w:pStyle w:val="25"/>
              <w:rPr>
                <w:bCs/>
                <w:color w:val="000000"/>
              </w:rPr>
            </w:pPr>
            <w:r>
              <w:rPr>
                <w:rFonts w:hint="eastAsia"/>
                <w:bCs/>
                <w:color w:val="000000"/>
              </w:rPr>
              <w:t>成交供应商数量（名）</w:t>
            </w:r>
          </w:p>
        </w:tc>
        <w:tc>
          <w:tcPr>
            <w:tcW w:w="466" w:type="pct"/>
            <w:shd w:val="clear" w:color="auto" w:fill="FFFFFF"/>
            <w:vAlign w:val="center"/>
          </w:tcPr>
          <w:p>
            <w:pPr>
              <w:pStyle w:val="25"/>
              <w:rPr>
                <w:bCs/>
                <w:color w:val="000000"/>
              </w:rPr>
            </w:pPr>
            <w:r>
              <w:rPr>
                <w:rFonts w:hint="eastAsia"/>
                <w:bCs/>
                <w:color w:val="000000"/>
              </w:rPr>
              <w:t>服务期限</w:t>
            </w:r>
          </w:p>
        </w:tc>
        <w:tc>
          <w:tcPr>
            <w:tcW w:w="1214" w:type="pct"/>
            <w:shd w:val="clear" w:color="auto" w:fill="FFFFFF"/>
            <w:vAlign w:val="center"/>
          </w:tcPr>
          <w:p>
            <w:pPr>
              <w:pStyle w:val="25"/>
              <w:rPr>
                <w:bCs/>
                <w:color w:val="000000"/>
              </w:rPr>
            </w:pPr>
            <w:r>
              <w:rPr>
                <w:rFonts w:hint="eastAsia"/>
                <w:bCs/>
                <w:color w:val="000000"/>
              </w:rPr>
              <w:t>采购标的对应的中小企业划分标准所属行业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59" w:type="pct"/>
            <w:shd w:val="clear" w:color="auto" w:fill="FFFFFF"/>
            <w:vAlign w:val="center"/>
          </w:tcPr>
          <w:p>
            <w:pPr>
              <w:pStyle w:val="25"/>
              <w:rPr>
                <w:color w:val="000000"/>
              </w:rPr>
            </w:pPr>
            <w:bookmarkStart w:id="21" w:name="_Hlk344477914"/>
            <w:r>
              <w:rPr>
                <w:rFonts w:hint="eastAsia"/>
                <w:color w:val="000000"/>
              </w:rPr>
              <w:t>共享电动自行车运营</w:t>
            </w:r>
          </w:p>
        </w:tc>
        <w:tc>
          <w:tcPr>
            <w:tcW w:w="1330" w:type="pct"/>
            <w:shd w:val="clear" w:color="auto" w:fill="FFFFFF"/>
            <w:vAlign w:val="center"/>
          </w:tcPr>
          <w:p>
            <w:pPr>
              <w:pStyle w:val="25"/>
              <w:rPr>
                <w:rFonts w:hint="eastAsia"/>
                <w:color w:val="000000"/>
              </w:rPr>
            </w:pPr>
            <w:r>
              <w:rPr>
                <w:rFonts w:hint="eastAsia"/>
                <w:color w:val="000000"/>
              </w:rPr>
              <w:t>最高收费限价：</w:t>
            </w:r>
          </w:p>
          <w:p>
            <w:pPr>
              <w:pStyle w:val="25"/>
              <w:rPr>
                <w:color w:val="000000"/>
              </w:rPr>
            </w:pPr>
            <w:r>
              <w:rPr>
                <w:rFonts w:hint="eastAsia"/>
                <w:color w:val="000000"/>
                <w:lang w:val="en-US" w:eastAsia="zh-CN"/>
              </w:rPr>
              <w:t>1.5元/20分钟（20分钟为一个计费周期）</w:t>
            </w:r>
          </w:p>
        </w:tc>
        <w:tc>
          <w:tcPr>
            <w:tcW w:w="765" w:type="pct"/>
            <w:shd w:val="clear" w:color="auto" w:fill="FFFFFF"/>
            <w:vAlign w:val="center"/>
          </w:tcPr>
          <w:p>
            <w:pPr>
              <w:pStyle w:val="25"/>
              <w:rPr>
                <w:color w:val="000000"/>
              </w:rPr>
            </w:pPr>
            <w:r>
              <w:rPr>
                <w:rFonts w:hint="eastAsia"/>
                <w:color w:val="000000"/>
                <w:lang w:val="en-US" w:eastAsia="zh-CN"/>
              </w:rPr>
              <w:t>5</w:t>
            </w:r>
          </w:p>
        </w:tc>
        <w:tc>
          <w:tcPr>
            <w:tcW w:w="564" w:type="pct"/>
            <w:shd w:val="clear" w:color="auto" w:fill="FFFFFF"/>
            <w:vAlign w:val="center"/>
          </w:tcPr>
          <w:p>
            <w:pPr>
              <w:pStyle w:val="25"/>
              <w:rPr>
                <w:color w:val="000000"/>
              </w:rPr>
            </w:pPr>
            <w:r>
              <w:rPr>
                <w:rFonts w:hint="eastAsia"/>
                <w:color w:val="000000"/>
              </w:rPr>
              <w:t>1</w:t>
            </w:r>
          </w:p>
        </w:tc>
        <w:tc>
          <w:tcPr>
            <w:tcW w:w="466" w:type="pct"/>
            <w:shd w:val="clear" w:color="auto" w:fill="FFFFFF"/>
            <w:vAlign w:val="center"/>
          </w:tcPr>
          <w:p>
            <w:pPr>
              <w:pStyle w:val="25"/>
              <w:rPr>
                <w:color w:val="000000"/>
              </w:rPr>
            </w:pPr>
            <w:r>
              <w:rPr>
                <w:rFonts w:hint="eastAsia"/>
                <w:color w:val="000000"/>
              </w:rPr>
              <w:t>7年</w:t>
            </w:r>
          </w:p>
        </w:tc>
        <w:tc>
          <w:tcPr>
            <w:tcW w:w="1214" w:type="pct"/>
            <w:shd w:val="clear" w:color="auto" w:fill="FFFFFF"/>
            <w:vAlign w:val="center"/>
          </w:tcPr>
          <w:p>
            <w:pPr>
              <w:pStyle w:val="25"/>
              <w:rPr>
                <w:color w:val="000000"/>
              </w:rPr>
            </w:pPr>
            <w:r>
              <w:rPr>
                <w:rFonts w:hint="eastAsia"/>
                <w:color w:val="000000"/>
              </w:rPr>
              <w:t>其他未列明行业</w:t>
            </w:r>
          </w:p>
        </w:tc>
      </w:tr>
      <w:bookmarkEnd w:id="21"/>
    </w:tbl>
    <w:p>
      <w:pPr>
        <w:ind w:firstLine="480"/>
        <w:rPr>
          <w:rFonts w:hint="eastAsia"/>
          <w:highlight w:val="yellow"/>
        </w:rPr>
      </w:pPr>
      <w:bookmarkStart w:id="22" w:name="_Toc13280"/>
      <w:r>
        <w:rPr>
          <w:rFonts w:hint="eastAsia"/>
          <w:highlight w:val="none"/>
        </w:rPr>
        <w:t>注：</w:t>
      </w:r>
      <w:r>
        <w:rPr>
          <w:highlight w:val="none"/>
        </w:rPr>
        <w:t>①</w:t>
      </w:r>
      <w:r>
        <w:rPr>
          <w:rFonts w:hint="eastAsia"/>
          <w:highlight w:val="none"/>
        </w:rPr>
        <w:t>供应商须对共享电动自行车收费进行报价，按照20分钟为一个计费周期，每个计费周期报价不得高于人民币 1.5 元。</w:t>
      </w:r>
    </w:p>
    <w:bookmarkEnd w:id="22"/>
    <w:p>
      <w:pPr>
        <w:ind w:firstLine="480"/>
      </w:pPr>
      <w:bookmarkStart w:id="23" w:name="_Toc29499"/>
      <w:r>
        <w:rPr>
          <w:rFonts w:hint="eastAsia"/>
        </w:rPr>
        <w:t>②</w:t>
      </w:r>
      <w:bookmarkEnd w:id="23"/>
      <w:bookmarkStart w:id="24" w:name="_Toc2776"/>
      <w:r>
        <w:rPr>
          <w:rFonts w:hint="eastAsia"/>
        </w:rPr>
        <w:t>供应商必须对本项目的全部内容进行报价，此报价为一次性报价，如有缺漏或超出最高限价，将导致报价无效。</w:t>
      </w:r>
      <w:bookmarkEnd w:id="24"/>
      <w:r>
        <w:rPr>
          <w:rFonts w:hint="eastAsia"/>
        </w:rPr>
        <w:t xml:space="preserve"> </w:t>
      </w:r>
    </w:p>
    <w:p>
      <w:pPr>
        <w:ind w:firstLine="482"/>
        <w:rPr>
          <w:b/>
          <w:bCs/>
        </w:rPr>
      </w:pPr>
      <w:r>
        <w:rPr>
          <w:rFonts w:hint="eastAsia"/>
          <w:b/>
          <w:bCs/>
        </w:rPr>
        <w:t>二、资金来源</w:t>
      </w:r>
      <w:bookmarkEnd w:id="15"/>
      <w:bookmarkEnd w:id="16"/>
      <w:bookmarkEnd w:id="17"/>
      <w:bookmarkEnd w:id="18"/>
      <w:bookmarkEnd w:id="19"/>
      <w:bookmarkEnd w:id="20"/>
    </w:p>
    <w:p>
      <w:pPr>
        <w:spacing w:line="400" w:lineRule="exact"/>
        <w:ind w:firstLine="482"/>
        <w:rPr>
          <w:b/>
          <w:bCs/>
          <w:szCs w:val="24"/>
        </w:rPr>
      </w:pPr>
      <w:r>
        <w:rPr>
          <w:rFonts w:hint="eastAsia"/>
          <w:b/>
          <w:bCs/>
          <w:szCs w:val="24"/>
        </w:rPr>
        <w:t>无</w:t>
      </w:r>
    </w:p>
    <w:p>
      <w:pPr>
        <w:ind w:firstLine="482"/>
        <w:rPr>
          <w:b/>
          <w:bCs/>
        </w:rPr>
      </w:pPr>
      <w:bookmarkStart w:id="25" w:name="_Toc25496"/>
      <w:bookmarkStart w:id="26" w:name="_Toc123227025"/>
      <w:bookmarkStart w:id="27" w:name="_Toc3434"/>
      <w:bookmarkStart w:id="28" w:name="_Toc30358"/>
      <w:bookmarkStart w:id="29" w:name="_Toc76373866"/>
      <w:bookmarkStart w:id="30" w:name="_Toc10137"/>
      <w:r>
        <w:rPr>
          <w:rFonts w:hint="eastAsia"/>
          <w:b/>
          <w:bCs/>
        </w:rPr>
        <w:t>三、投标人资格要求</w:t>
      </w:r>
      <w:bookmarkEnd w:id="25"/>
      <w:bookmarkEnd w:id="26"/>
      <w:bookmarkEnd w:id="27"/>
      <w:bookmarkEnd w:id="28"/>
      <w:bookmarkEnd w:id="29"/>
      <w:bookmarkEnd w:id="30"/>
    </w:p>
    <w:p>
      <w:pPr>
        <w:ind w:firstLine="480"/>
      </w:pPr>
      <w:r>
        <w:rPr>
          <w:rFonts w:hint="eastAsia"/>
        </w:rPr>
        <w:t>（一）满足《中华人民共和国政府采购法》第二十二条规定；</w:t>
      </w:r>
    </w:p>
    <w:p>
      <w:pPr>
        <w:ind w:firstLine="480"/>
      </w:pPr>
      <w:r>
        <w:rPr>
          <w:rFonts w:hint="eastAsia"/>
        </w:rPr>
        <w:t>（二）落实政府采购政策需满足的资格要求：无。</w:t>
      </w:r>
    </w:p>
    <w:p>
      <w:pPr>
        <w:ind w:firstLine="480"/>
      </w:pPr>
      <w:r>
        <w:rPr>
          <w:rFonts w:hint="eastAsia"/>
        </w:rPr>
        <w:t>（三）本项目的特定资格要求：无。</w:t>
      </w:r>
    </w:p>
    <w:p>
      <w:pPr>
        <w:ind w:firstLine="482"/>
        <w:rPr>
          <w:b/>
          <w:bCs/>
        </w:rPr>
      </w:pPr>
      <w:bookmarkStart w:id="31" w:name="_Toc76373867"/>
      <w:bookmarkStart w:id="32" w:name="_Toc6364"/>
      <w:bookmarkStart w:id="33" w:name="_Toc15638"/>
      <w:bookmarkStart w:id="34" w:name="_Toc123227026"/>
      <w:bookmarkStart w:id="35" w:name="_Toc13612"/>
      <w:bookmarkStart w:id="36" w:name="_Toc19479"/>
      <w:r>
        <w:rPr>
          <w:rFonts w:hint="eastAsia"/>
          <w:b/>
          <w:bCs/>
        </w:rPr>
        <w:t>四、投标、开标有关说明</w:t>
      </w:r>
      <w:bookmarkEnd w:id="31"/>
      <w:bookmarkEnd w:id="32"/>
      <w:bookmarkEnd w:id="33"/>
      <w:bookmarkEnd w:id="34"/>
      <w:bookmarkEnd w:id="35"/>
      <w:bookmarkEnd w:id="36"/>
    </w:p>
    <w:p>
      <w:pPr>
        <w:snapToGrid w:val="0"/>
        <w:spacing w:line="380" w:lineRule="exact"/>
        <w:ind w:firstLine="480" w:firstLineChars="200"/>
        <w:textAlignment w:val="baseline"/>
        <w:rPr>
          <w:rFonts w:ascii="宋体" w:hAnsi="宋体" w:cs="宋体"/>
          <w:kern w:val="0"/>
          <w:sz w:val="24"/>
          <w:szCs w:val="22"/>
        </w:rPr>
      </w:pPr>
      <w:bookmarkStart w:id="37" w:name="_Toc15246"/>
      <w:bookmarkStart w:id="38" w:name="_Toc18155"/>
      <w:bookmarkStart w:id="39" w:name="_Toc26516"/>
      <w:bookmarkStart w:id="40" w:name="_Toc123227027"/>
      <w:bookmarkStart w:id="41" w:name="_Toc29384"/>
      <w:bookmarkStart w:id="42" w:name="_Toc76373868"/>
      <w:r>
        <w:rPr>
          <w:rFonts w:hint="eastAsia" w:ascii="宋体" w:hAnsi="宋体" w:cs="宋体"/>
          <w:kern w:val="0"/>
          <w:sz w:val="24"/>
          <w:szCs w:val="22"/>
        </w:rPr>
        <w:t>（一）获取文件地点：凡有意参加</w:t>
      </w:r>
      <w:r>
        <w:rPr>
          <w:rFonts w:hint="eastAsia" w:cs="宋体"/>
          <w:kern w:val="0"/>
          <w:sz w:val="24"/>
          <w:szCs w:val="22"/>
          <w:lang w:eastAsia="zh-CN"/>
        </w:rPr>
        <w:t>招标</w:t>
      </w:r>
      <w:r>
        <w:rPr>
          <w:rFonts w:hint="eastAsia" w:ascii="宋体" w:hAnsi="宋体" w:cs="宋体"/>
          <w:kern w:val="0"/>
          <w:sz w:val="24"/>
          <w:szCs w:val="22"/>
        </w:rPr>
        <w:t>的供应商，请于公告发布之日（</w:t>
      </w:r>
      <w:r>
        <w:rPr>
          <w:rFonts w:hint="eastAsia" w:ascii="宋体" w:hAnsi="宋体" w:cs="宋体"/>
          <w:color w:val="FF0000"/>
          <w:kern w:val="0"/>
          <w:sz w:val="24"/>
          <w:szCs w:val="22"/>
        </w:rPr>
        <w:t>2023年</w:t>
      </w:r>
      <w:r>
        <w:rPr>
          <w:rFonts w:hint="eastAsia" w:ascii="宋体" w:hAnsi="宋体" w:cs="宋体"/>
          <w:color w:val="FF0000"/>
          <w:kern w:val="0"/>
          <w:sz w:val="24"/>
          <w:szCs w:val="22"/>
          <w:lang w:val="en-US" w:eastAsia="zh-CN"/>
        </w:rPr>
        <w:t>9</w:t>
      </w:r>
      <w:r>
        <w:rPr>
          <w:rFonts w:hint="eastAsia" w:ascii="宋体" w:hAnsi="宋体" w:cs="宋体"/>
          <w:color w:val="FF0000"/>
          <w:kern w:val="0"/>
          <w:sz w:val="24"/>
          <w:szCs w:val="22"/>
        </w:rPr>
        <w:t>月</w:t>
      </w:r>
      <w:r>
        <w:rPr>
          <w:rFonts w:hint="eastAsia" w:ascii="宋体" w:hAnsi="宋体" w:cs="宋体"/>
          <w:color w:val="FF0000"/>
          <w:kern w:val="0"/>
          <w:sz w:val="24"/>
          <w:szCs w:val="22"/>
          <w:lang w:val="en-US" w:eastAsia="zh-CN"/>
        </w:rPr>
        <w:t>4</w:t>
      </w:r>
      <w:r>
        <w:rPr>
          <w:rFonts w:hint="eastAsia" w:ascii="宋体" w:hAnsi="宋体" w:cs="宋体"/>
          <w:color w:val="FF0000"/>
          <w:kern w:val="0"/>
          <w:sz w:val="24"/>
          <w:szCs w:val="22"/>
        </w:rPr>
        <w:t>日</w:t>
      </w:r>
      <w:r>
        <w:rPr>
          <w:rFonts w:hint="eastAsia" w:ascii="宋体" w:hAnsi="宋体" w:cs="宋体"/>
          <w:kern w:val="0"/>
          <w:sz w:val="24"/>
          <w:szCs w:val="22"/>
        </w:rPr>
        <w:t>）起至提交首次响应文件截止时间之前，</w:t>
      </w:r>
      <w:r>
        <w:rPr>
          <w:rFonts w:hint="eastAsia" w:ascii="宋体" w:hAnsi="宋体" w:eastAsia="宋体" w:cs="宋体"/>
          <w:i w:val="0"/>
          <w:iCs w:val="0"/>
          <w:caps w:val="0"/>
          <w:spacing w:val="0"/>
          <w:kern w:val="0"/>
          <w:sz w:val="24"/>
          <w:szCs w:val="22"/>
        </w:rPr>
        <w:t>请到重庆工程职业技术学院官方网站（https://www.cqvie.edu.cn/）</w:t>
      </w:r>
      <w:r>
        <w:rPr>
          <w:rFonts w:hint="eastAsia" w:ascii="宋体" w:hAnsi="宋体" w:cs="宋体"/>
          <w:kern w:val="0"/>
          <w:sz w:val="24"/>
          <w:szCs w:val="22"/>
        </w:rPr>
        <w:t>下载本项目</w:t>
      </w:r>
      <w:r>
        <w:rPr>
          <w:rFonts w:hint="eastAsia" w:cs="宋体"/>
          <w:kern w:val="0"/>
          <w:sz w:val="24"/>
          <w:szCs w:val="22"/>
          <w:lang w:val="en-US" w:eastAsia="zh-CN"/>
        </w:rPr>
        <w:t>公开招标</w:t>
      </w:r>
      <w:r>
        <w:rPr>
          <w:rFonts w:hint="eastAsia" w:ascii="宋体" w:hAnsi="宋体" w:cs="宋体"/>
          <w:kern w:val="0"/>
          <w:sz w:val="24"/>
          <w:szCs w:val="22"/>
        </w:rPr>
        <w:t>文件以及图纸、补遗等</w:t>
      </w:r>
      <w:r>
        <w:rPr>
          <w:rFonts w:hint="eastAsia" w:cs="宋体"/>
          <w:kern w:val="0"/>
          <w:sz w:val="24"/>
          <w:szCs w:val="22"/>
          <w:lang w:eastAsia="zh-CN"/>
        </w:rPr>
        <w:t>招标</w:t>
      </w:r>
      <w:r>
        <w:rPr>
          <w:rFonts w:hint="eastAsia" w:ascii="宋体" w:hAnsi="宋体" w:cs="宋体"/>
          <w:kern w:val="0"/>
          <w:sz w:val="24"/>
          <w:szCs w:val="22"/>
        </w:rPr>
        <w:t>前公布的所有项目资料，无论投标人下载与否，均视为已知晓所有</w:t>
      </w:r>
      <w:r>
        <w:rPr>
          <w:rFonts w:hint="eastAsia" w:cs="宋体"/>
          <w:kern w:val="0"/>
          <w:sz w:val="24"/>
          <w:szCs w:val="22"/>
          <w:lang w:eastAsia="zh-CN"/>
        </w:rPr>
        <w:t>招标</w:t>
      </w:r>
      <w:r>
        <w:rPr>
          <w:rFonts w:hint="eastAsia" w:ascii="宋体" w:hAnsi="宋体" w:cs="宋体"/>
          <w:kern w:val="0"/>
          <w:sz w:val="24"/>
          <w:szCs w:val="22"/>
        </w:rPr>
        <w:t>实质性要求内容。</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（二）竞争性</w:t>
      </w:r>
      <w:r>
        <w:rPr>
          <w:rFonts w:hint="eastAsia" w:cs="宋体"/>
          <w:kern w:val="0"/>
          <w:sz w:val="24"/>
          <w:szCs w:val="22"/>
          <w:lang w:eastAsia="zh-CN"/>
        </w:rPr>
        <w:t>招标</w:t>
      </w:r>
      <w:r>
        <w:rPr>
          <w:rFonts w:hint="eastAsia" w:ascii="宋体" w:hAnsi="宋体" w:cs="宋体"/>
          <w:kern w:val="0"/>
          <w:sz w:val="24"/>
          <w:szCs w:val="22"/>
        </w:rPr>
        <w:t>公告期限：自采购公告发布之日（</w:t>
      </w:r>
      <w:r>
        <w:rPr>
          <w:rFonts w:hint="eastAsia" w:ascii="宋体" w:hAnsi="宋体" w:cs="宋体"/>
          <w:color w:val="FF0000"/>
          <w:kern w:val="0"/>
          <w:sz w:val="24"/>
          <w:szCs w:val="22"/>
        </w:rPr>
        <w:t>2023年</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月</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日</w:t>
      </w:r>
      <w:r>
        <w:rPr>
          <w:rFonts w:hint="eastAsia" w:ascii="宋体" w:hAnsi="宋体" w:cs="宋体"/>
          <w:kern w:val="0"/>
          <w:sz w:val="24"/>
          <w:szCs w:val="22"/>
        </w:rPr>
        <w:t>）起五个工作日。</w:t>
      </w:r>
    </w:p>
    <w:p>
      <w:pPr>
        <w:snapToGrid w:val="0"/>
        <w:spacing w:line="40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（三）竞争性</w:t>
      </w:r>
      <w:r>
        <w:rPr>
          <w:rFonts w:hint="eastAsia" w:cs="宋体"/>
          <w:kern w:val="0"/>
          <w:sz w:val="24"/>
          <w:szCs w:val="22"/>
          <w:lang w:eastAsia="zh-CN"/>
        </w:rPr>
        <w:t>招标</w:t>
      </w:r>
      <w:r>
        <w:rPr>
          <w:rFonts w:hint="eastAsia" w:ascii="宋体" w:hAnsi="宋体" w:cs="宋体"/>
          <w:kern w:val="0"/>
          <w:sz w:val="24"/>
          <w:szCs w:val="22"/>
        </w:rPr>
        <w:t>报名</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1、</w:t>
      </w:r>
      <w:r>
        <w:rPr>
          <w:rFonts w:hint="eastAsia" w:cs="宋体"/>
          <w:kern w:val="0"/>
          <w:sz w:val="24"/>
          <w:szCs w:val="22"/>
          <w:lang w:eastAsia="zh-CN"/>
        </w:rPr>
        <w:t>招标</w:t>
      </w:r>
      <w:r>
        <w:rPr>
          <w:rFonts w:hint="eastAsia" w:ascii="宋体" w:hAnsi="宋体" w:cs="宋体"/>
          <w:kern w:val="0"/>
          <w:sz w:val="24"/>
          <w:szCs w:val="22"/>
        </w:rPr>
        <w:t>文件售价为：300元/分包（售后不退）。</w:t>
      </w:r>
    </w:p>
    <w:p>
      <w:pPr>
        <w:snapToGrid w:val="0"/>
        <w:spacing w:line="400" w:lineRule="exact"/>
        <w:ind w:firstLine="480" w:firstLineChars="200"/>
        <w:textAlignment w:val="baseline"/>
        <w:rPr>
          <w:rFonts w:ascii="宋体" w:hAnsi="宋体" w:cs="宋体"/>
          <w:sz w:val="24"/>
        </w:rPr>
      </w:pPr>
      <w:r>
        <w:rPr>
          <w:rFonts w:hint="eastAsia" w:ascii="宋体" w:hAnsi="宋体" w:cs="宋体"/>
          <w:kern w:val="0"/>
          <w:sz w:val="24"/>
          <w:szCs w:val="22"/>
        </w:rPr>
        <w:t>2、报名和</w:t>
      </w:r>
      <w:r>
        <w:rPr>
          <w:rFonts w:hint="eastAsia" w:cs="宋体"/>
          <w:kern w:val="0"/>
          <w:sz w:val="24"/>
          <w:szCs w:val="22"/>
          <w:lang w:eastAsia="zh-CN"/>
        </w:rPr>
        <w:t>招标</w:t>
      </w:r>
      <w:r>
        <w:rPr>
          <w:rFonts w:hint="eastAsia" w:ascii="宋体" w:hAnsi="宋体" w:cs="宋体"/>
          <w:kern w:val="0"/>
          <w:sz w:val="24"/>
          <w:szCs w:val="22"/>
        </w:rPr>
        <w:t>文件发售期：</w:t>
      </w:r>
      <w:r>
        <w:rPr>
          <w:rFonts w:hint="eastAsia" w:ascii="宋体" w:hAnsi="宋体" w:cs="宋体"/>
          <w:color w:val="FF0000"/>
          <w:kern w:val="0"/>
          <w:sz w:val="24"/>
          <w:szCs w:val="22"/>
        </w:rPr>
        <w:t>2023年</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月</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日-2023年</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月</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日</w:t>
      </w:r>
      <w:r>
        <w:rPr>
          <w:rFonts w:hint="eastAsia" w:ascii="宋体" w:hAnsi="宋体" w:cs="宋体"/>
          <w:kern w:val="0"/>
          <w:sz w:val="24"/>
          <w:szCs w:val="22"/>
        </w:rPr>
        <w:t>17:00（</w:t>
      </w:r>
      <w:r>
        <w:rPr>
          <w:rFonts w:hint="eastAsia" w:ascii="宋体" w:hAnsi="宋体" w:cs="宋体"/>
          <w:sz w:val="24"/>
        </w:rPr>
        <w:t>工作时间）</w:t>
      </w:r>
    </w:p>
    <w:p>
      <w:pPr>
        <w:snapToGrid w:val="0"/>
        <w:spacing w:line="400" w:lineRule="exact"/>
        <w:ind w:firstLine="482" w:firstLineChars="200"/>
        <w:textAlignment w:val="baseline"/>
        <w:rPr>
          <w:rFonts w:ascii="宋体" w:hAnsi="宋体" w:cs="宋体"/>
          <w:b/>
          <w:sz w:val="24"/>
        </w:rPr>
      </w:pPr>
      <w:r>
        <w:rPr>
          <w:rFonts w:hint="eastAsia" w:ascii="宋体" w:hAnsi="宋体" w:cs="宋体"/>
          <w:b/>
          <w:sz w:val="24"/>
        </w:rPr>
        <w:t>3、报名方式：在报名和</w:t>
      </w:r>
      <w:r>
        <w:rPr>
          <w:rFonts w:hint="eastAsia" w:cs="宋体"/>
          <w:b/>
          <w:sz w:val="24"/>
          <w:lang w:eastAsia="zh-CN"/>
        </w:rPr>
        <w:t>招标</w:t>
      </w:r>
      <w:r>
        <w:rPr>
          <w:rFonts w:hint="eastAsia" w:ascii="宋体" w:hAnsi="宋体" w:cs="宋体"/>
          <w:b/>
          <w:sz w:val="24"/>
        </w:rPr>
        <w:t>文件发售期内，供应商通过其银行基本账户以转账方式购买</w:t>
      </w:r>
      <w:r>
        <w:rPr>
          <w:rFonts w:hint="eastAsia" w:cs="宋体"/>
          <w:b/>
          <w:sz w:val="24"/>
          <w:lang w:eastAsia="zh-CN"/>
        </w:rPr>
        <w:t>招标</w:t>
      </w:r>
      <w:r>
        <w:rPr>
          <w:rFonts w:hint="eastAsia" w:ascii="宋体" w:hAnsi="宋体" w:cs="宋体"/>
          <w:b/>
          <w:sz w:val="24"/>
        </w:rPr>
        <w:t>文件。供应商在报名期限内向采购人提交《文件发售登记表》（扫描件）（格式见招标公告附件1），收件人：宋老师，收件邮箱2963010533@qq.com。供应商未按规定方式报名导致其投标文件被拒收的，其责任由供应商自行承担。</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4、报名成功条件：文件制作费以规定方式足额缴纳且在报名期限内到账；《文件发售登记表》以规定的时间及方式向采购人提交。</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5、各供应商在银行转账（电汇）时，须充分考虑银行转账（电汇）的时间差风险，如同城转账、异地转账或汇款、跨行转账或电汇的时间要求。</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（四）供应商须满足以下三种要件，其响应文件才被接受：</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1、</w:t>
      </w:r>
      <w:r>
        <w:rPr>
          <w:rFonts w:hint="eastAsia" w:cs="宋体"/>
          <w:color w:val="000000"/>
          <w:kern w:val="0"/>
          <w:sz w:val="24"/>
          <w:lang w:eastAsia="zh-CN"/>
        </w:rPr>
        <w:t>招标</w:t>
      </w:r>
      <w:r>
        <w:rPr>
          <w:rFonts w:hint="eastAsia" w:ascii="宋体" w:hAnsi="宋体" w:cs="宋体"/>
          <w:sz w:val="24"/>
        </w:rPr>
        <w:t>文件制作费按规定的方式缴纳以及在规定的时间到账；</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2、按规定的方式及时间完成报名；</w:t>
      </w:r>
    </w:p>
    <w:p>
      <w:pPr>
        <w:snapToGrid w:val="0"/>
        <w:spacing w:line="400" w:lineRule="exact"/>
        <w:ind w:firstLine="480" w:firstLineChars="200"/>
        <w:textAlignment w:val="baseline"/>
        <w:rPr>
          <w:rFonts w:ascii="宋体" w:hAnsi="宋体" w:cs="宋体"/>
          <w:sz w:val="24"/>
        </w:rPr>
      </w:pPr>
      <w:r>
        <w:rPr>
          <w:rFonts w:hint="eastAsia" w:ascii="宋体" w:hAnsi="宋体" w:cs="宋体"/>
          <w:sz w:val="24"/>
        </w:rPr>
        <w:t>3、按规定的方式及时间递交了响应文件。</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（五）响应文件递交地点：重庆工程职业技术学院树人楼三楼1325室（重庆市江津区圣泉街道南北大道南段1111号）</w:t>
      </w:r>
    </w:p>
    <w:p>
      <w:pPr>
        <w:snapToGrid w:val="0"/>
        <w:spacing w:line="380" w:lineRule="exact"/>
        <w:ind w:firstLine="480" w:firstLineChars="200"/>
        <w:textAlignment w:val="baseline"/>
        <w:rPr>
          <w:rFonts w:ascii="宋体" w:hAnsi="宋体" w:cs="宋体"/>
          <w:color w:val="FF0000"/>
          <w:kern w:val="0"/>
          <w:sz w:val="24"/>
          <w:szCs w:val="22"/>
        </w:rPr>
      </w:pPr>
      <w:r>
        <w:rPr>
          <w:rFonts w:hint="eastAsia" w:ascii="宋体" w:hAnsi="宋体" w:cs="宋体"/>
          <w:sz w:val="24"/>
          <w:szCs w:val="24"/>
        </w:rPr>
        <w:t>（六）提交响应文</w:t>
      </w:r>
      <w:r>
        <w:rPr>
          <w:rFonts w:hint="eastAsia" w:ascii="宋体" w:hAnsi="宋体" w:cs="宋体"/>
          <w:kern w:val="0"/>
          <w:sz w:val="24"/>
          <w:szCs w:val="22"/>
        </w:rPr>
        <w:t>件开始时间：</w:t>
      </w:r>
      <w:r>
        <w:rPr>
          <w:rFonts w:hint="eastAsia" w:ascii="宋体" w:hAnsi="宋体" w:cs="宋体"/>
          <w:color w:val="FF0000"/>
          <w:kern w:val="0"/>
          <w:sz w:val="24"/>
          <w:szCs w:val="22"/>
        </w:rPr>
        <w:t>2023年</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月</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日北京时间9:30</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（七）提交响应文件截止时间：</w:t>
      </w:r>
      <w:r>
        <w:rPr>
          <w:rFonts w:hint="eastAsia" w:ascii="宋体" w:hAnsi="宋体" w:cs="宋体"/>
          <w:color w:val="FF0000"/>
          <w:kern w:val="0"/>
          <w:sz w:val="24"/>
          <w:szCs w:val="22"/>
        </w:rPr>
        <w:t>2023年</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月</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日北京时间10:00</w:t>
      </w:r>
      <w:r>
        <w:rPr>
          <w:rFonts w:hint="eastAsia" w:ascii="宋体" w:hAnsi="宋体" w:cs="宋体"/>
          <w:kern w:val="0"/>
          <w:sz w:val="24"/>
          <w:szCs w:val="22"/>
        </w:rPr>
        <w:t xml:space="preserve"> （采购人恕不接受超过递交截止时间递交的竞标文件）</w:t>
      </w:r>
    </w:p>
    <w:p>
      <w:pPr>
        <w:snapToGrid w:val="0"/>
        <w:spacing w:line="380" w:lineRule="exact"/>
        <w:ind w:firstLine="480" w:firstLineChars="200"/>
        <w:textAlignment w:val="baseline"/>
        <w:rPr>
          <w:rFonts w:ascii="宋体" w:hAnsi="宋体" w:cs="宋体"/>
          <w:color w:val="FF0000"/>
          <w:kern w:val="0"/>
          <w:sz w:val="24"/>
          <w:szCs w:val="22"/>
        </w:rPr>
      </w:pPr>
      <w:r>
        <w:rPr>
          <w:rFonts w:hint="eastAsia" w:ascii="宋体" w:hAnsi="宋体" w:cs="宋体"/>
          <w:kern w:val="0"/>
          <w:sz w:val="24"/>
          <w:szCs w:val="22"/>
        </w:rPr>
        <w:t>（八）</w:t>
      </w:r>
      <w:r>
        <w:rPr>
          <w:rFonts w:hint="eastAsia" w:cs="宋体"/>
          <w:kern w:val="0"/>
          <w:sz w:val="24"/>
          <w:szCs w:val="22"/>
          <w:lang w:eastAsia="zh-CN"/>
        </w:rPr>
        <w:t>招标</w:t>
      </w:r>
      <w:r>
        <w:rPr>
          <w:rFonts w:hint="eastAsia" w:ascii="宋体" w:hAnsi="宋体" w:cs="宋体"/>
          <w:kern w:val="0"/>
          <w:sz w:val="24"/>
          <w:szCs w:val="22"/>
        </w:rPr>
        <w:t>时间：</w:t>
      </w:r>
      <w:r>
        <w:rPr>
          <w:rFonts w:hint="eastAsia" w:ascii="宋体" w:hAnsi="宋体" w:cs="宋体"/>
          <w:color w:val="FF0000"/>
          <w:kern w:val="0"/>
          <w:sz w:val="24"/>
          <w:szCs w:val="22"/>
        </w:rPr>
        <w:t>2023年</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月</w:t>
      </w:r>
      <w:r>
        <w:rPr>
          <w:rFonts w:hint="eastAsia" w:cs="宋体"/>
          <w:color w:val="FF0000"/>
          <w:kern w:val="0"/>
          <w:sz w:val="24"/>
          <w:szCs w:val="22"/>
          <w:lang w:val="en-US" w:eastAsia="zh-CN"/>
        </w:rPr>
        <w:t xml:space="preserve">  </w:t>
      </w:r>
      <w:r>
        <w:rPr>
          <w:rFonts w:hint="eastAsia" w:ascii="宋体" w:hAnsi="宋体" w:cs="宋体"/>
          <w:color w:val="FF0000"/>
          <w:kern w:val="0"/>
          <w:sz w:val="24"/>
          <w:szCs w:val="22"/>
        </w:rPr>
        <w:t xml:space="preserve">日北京时间10:00  </w:t>
      </w:r>
    </w:p>
    <w:p>
      <w:pPr>
        <w:snapToGrid w:val="0"/>
        <w:spacing w:line="380" w:lineRule="exact"/>
        <w:ind w:firstLine="480" w:firstLineChars="200"/>
        <w:textAlignment w:val="baseline"/>
        <w:rPr>
          <w:rFonts w:ascii="宋体" w:hAnsi="宋体" w:cs="宋体"/>
          <w:kern w:val="0"/>
          <w:sz w:val="24"/>
          <w:szCs w:val="22"/>
        </w:rPr>
      </w:pPr>
      <w:r>
        <w:rPr>
          <w:rFonts w:hint="eastAsia" w:ascii="宋体" w:hAnsi="宋体" w:cs="宋体"/>
          <w:kern w:val="0"/>
          <w:sz w:val="24"/>
          <w:szCs w:val="22"/>
        </w:rPr>
        <w:t>（九）</w:t>
      </w:r>
      <w:r>
        <w:rPr>
          <w:rFonts w:hint="eastAsia" w:cs="宋体"/>
          <w:kern w:val="0"/>
          <w:sz w:val="24"/>
          <w:szCs w:val="22"/>
          <w:lang w:eastAsia="zh-CN"/>
        </w:rPr>
        <w:t>招标</w:t>
      </w:r>
      <w:r>
        <w:rPr>
          <w:rFonts w:hint="eastAsia" w:ascii="宋体" w:hAnsi="宋体" w:cs="宋体"/>
          <w:kern w:val="0"/>
          <w:sz w:val="24"/>
          <w:szCs w:val="22"/>
        </w:rPr>
        <w:t>地点：同响应文件递交地点。（所有参与竞争性</w:t>
      </w:r>
      <w:r>
        <w:rPr>
          <w:rFonts w:hint="eastAsia" w:cs="宋体"/>
          <w:kern w:val="0"/>
          <w:sz w:val="24"/>
          <w:szCs w:val="22"/>
          <w:lang w:eastAsia="zh-CN"/>
        </w:rPr>
        <w:t>招标</w:t>
      </w:r>
      <w:r>
        <w:rPr>
          <w:rFonts w:hint="eastAsia" w:ascii="宋体" w:hAnsi="宋体" w:cs="宋体"/>
          <w:kern w:val="0"/>
          <w:sz w:val="24"/>
          <w:szCs w:val="22"/>
        </w:rPr>
        <w:t>的单位，必须派代表在指定时间到达谈判现场）</w:t>
      </w:r>
    </w:p>
    <w:p>
      <w:pPr>
        <w:ind w:firstLine="482"/>
        <w:rPr>
          <w:b/>
          <w:bCs/>
        </w:rPr>
      </w:pPr>
      <w:r>
        <w:rPr>
          <w:rFonts w:hint="eastAsia"/>
          <w:b/>
          <w:bCs/>
        </w:rPr>
        <w:t>五、投标保证金</w:t>
      </w:r>
      <w:bookmarkEnd w:id="37"/>
      <w:bookmarkEnd w:id="38"/>
      <w:bookmarkEnd w:id="39"/>
      <w:bookmarkEnd w:id="40"/>
      <w:bookmarkEnd w:id="41"/>
      <w:bookmarkEnd w:id="42"/>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lang w:eastAsia="zh-CN"/>
        </w:rPr>
        <w:t>投标</w:t>
      </w:r>
      <w:r>
        <w:rPr>
          <w:rFonts w:hint="eastAsia" w:ascii="宋体" w:hAnsi="宋体" w:cs="宋体"/>
          <w:color w:val="000000"/>
          <w:sz w:val="24"/>
          <w:szCs w:val="24"/>
        </w:rPr>
        <w:t>保证金提交方式及时间</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（1）</w:t>
      </w:r>
      <w:r>
        <w:rPr>
          <w:rFonts w:hint="eastAsia" w:ascii="宋体" w:hAnsi="宋体" w:cs="宋体"/>
          <w:color w:val="000000"/>
          <w:sz w:val="24"/>
          <w:lang w:eastAsia="zh-CN"/>
        </w:rPr>
        <w:t>投标</w:t>
      </w:r>
      <w:r>
        <w:rPr>
          <w:rFonts w:hint="eastAsia" w:ascii="宋体" w:hAnsi="宋体" w:cs="宋体"/>
          <w:color w:val="000000"/>
          <w:sz w:val="24"/>
          <w:szCs w:val="24"/>
        </w:rPr>
        <w:t>保证金：按本篇“第一项 采购项目内容”要求的金额为准足额提交。</w:t>
      </w:r>
    </w:p>
    <w:p>
      <w:pPr>
        <w:pStyle w:val="32"/>
        <w:snapToGrid w:val="0"/>
        <w:spacing w:line="400" w:lineRule="exact"/>
        <w:ind w:left="240" w:leftChars="100" w:firstLine="240" w:firstLineChars="100"/>
        <w:textAlignment w:val="baseline"/>
        <w:rPr>
          <w:rFonts w:ascii="宋体" w:hAnsi="宋体" w:cs="宋体"/>
          <w:b/>
          <w:sz w:val="24"/>
          <w:szCs w:val="24"/>
        </w:rPr>
      </w:pPr>
      <w:r>
        <w:rPr>
          <w:rFonts w:hint="eastAsia" w:ascii="宋体" w:hAnsi="宋体" w:cs="宋体"/>
          <w:color w:val="000000"/>
          <w:sz w:val="24"/>
          <w:szCs w:val="24"/>
        </w:rPr>
        <w:t>（2）</w:t>
      </w:r>
      <w:r>
        <w:rPr>
          <w:rFonts w:hint="eastAsia" w:ascii="宋体" w:hAnsi="宋体" w:cs="宋体"/>
          <w:color w:val="000000"/>
          <w:sz w:val="24"/>
          <w:szCs w:val="24"/>
          <w:lang w:eastAsia="zh-CN"/>
        </w:rPr>
        <w:t>投标</w:t>
      </w:r>
      <w:r>
        <w:rPr>
          <w:rFonts w:hint="eastAsia" w:ascii="宋体" w:hAnsi="宋体" w:cs="宋体"/>
          <w:color w:val="000000"/>
          <w:sz w:val="24"/>
          <w:szCs w:val="24"/>
        </w:rPr>
        <w:t>保证金提交方式：供应商通过其银行基本账户以银行转账方式缴纳，且在</w:t>
      </w:r>
      <w:r>
        <w:rPr>
          <w:rFonts w:hint="eastAsia" w:ascii="宋体" w:hAnsi="宋体" w:cs="宋体"/>
          <w:color w:val="FF0000"/>
          <w:sz w:val="24"/>
          <w:szCs w:val="24"/>
        </w:rPr>
        <w:t>2023年</w:t>
      </w:r>
      <w:r>
        <w:rPr>
          <w:rFonts w:hint="eastAsia" w:ascii="宋体" w:hAnsi="宋体" w:cs="宋体"/>
          <w:color w:val="FF0000"/>
          <w:sz w:val="24"/>
          <w:szCs w:val="24"/>
          <w:lang w:val="en-US" w:eastAsia="zh-CN"/>
        </w:rPr>
        <w:t xml:space="preserve">  </w:t>
      </w:r>
      <w:r>
        <w:rPr>
          <w:rFonts w:hint="eastAsia" w:ascii="宋体" w:hAnsi="宋体" w:cs="宋体"/>
          <w:color w:val="FF0000"/>
          <w:sz w:val="24"/>
          <w:szCs w:val="24"/>
        </w:rPr>
        <w:t>月</w:t>
      </w:r>
      <w:r>
        <w:rPr>
          <w:rFonts w:hint="eastAsia" w:ascii="宋体" w:hAnsi="宋体" w:cs="宋体"/>
          <w:color w:val="FF0000"/>
          <w:sz w:val="24"/>
          <w:szCs w:val="24"/>
          <w:lang w:val="en-US" w:eastAsia="zh-CN"/>
        </w:rPr>
        <w:t xml:space="preserve">  </w:t>
      </w:r>
      <w:r>
        <w:rPr>
          <w:rFonts w:hint="eastAsia" w:ascii="宋体" w:hAnsi="宋体" w:cs="宋体"/>
          <w:color w:val="FF0000"/>
          <w:sz w:val="24"/>
          <w:szCs w:val="24"/>
        </w:rPr>
        <w:t xml:space="preserve">日17:00  </w:t>
      </w:r>
      <w:r>
        <w:rPr>
          <w:rFonts w:hint="eastAsia" w:ascii="宋体" w:hAnsi="宋体" w:cs="宋体"/>
          <w:color w:val="000000"/>
          <w:sz w:val="24"/>
          <w:szCs w:val="24"/>
        </w:rPr>
        <w:t>前</w:t>
      </w:r>
      <w:r>
        <w:rPr>
          <w:rFonts w:hint="eastAsia" w:ascii="宋体" w:hAnsi="宋体" w:cs="宋体"/>
          <w:sz w:val="24"/>
          <w:szCs w:val="24"/>
        </w:rPr>
        <w:t>必须到账。</w:t>
      </w:r>
      <w:r>
        <w:rPr>
          <w:rFonts w:hint="eastAsia" w:ascii="宋体" w:hAnsi="宋体" w:cs="宋体"/>
          <w:b/>
          <w:sz w:val="24"/>
          <w:szCs w:val="24"/>
        </w:rPr>
        <w:t>务必在转账凭证上备注“GZY23C00318” 以及“</w:t>
      </w:r>
      <w:r>
        <w:rPr>
          <w:rFonts w:hint="eastAsia" w:ascii="宋体" w:hAnsi="宋体" w:cs="宋体"/>
          <w:b/>
          <w:sz w:val="24"/>
          <w:szCs w:val="24"/>
          <w:lang w:eastAsia="zh-CN"/>
        </w:rPr>
        <w:t>投标</w:t>
      </w:r>
      <w:r>
        <w:rPr>
          <w:rFonts w:hint="eastAsia" w:ascii="宋体" w:hAnsi="宋体" w:cs="宋体"/>
          <w:b/>
          <w:sz w:val="24"/>
          <w:szCs w:val="24"/>
        </w:rPr>
        <w:t>保证金”字样。</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2、</w:t>
      </w:r>
      <w:r>
        <w:rPr>
          <w:rFonts w:hint="eastAsia" w:ascii="宋体" w:hAnsi="宋体" w:cs="宋体"/>
          <w:color w:val="000000"/>
          <w:sz w:val="24"/>
          <w:lang w:val="en-US" w:eastAsia="zh-CN"/>
        </w:rPr>
        <w:t>招标</w:t>
      </w:r>
      <w:r>
        <w:rPr>
          <w:rFonts w:hint="eastAsia" w:ascii="宋体" w:hAnsi="宋体" w:cs="宋体"/>
          <w:color w:val="000000"/>
          <w:sz w:val="24"/>
          <w:szCs w:val="24"/>
        </w:rPr>
        <w:t>文件制作费以及</w:t>
      </w:r>
      <w:r>
        <w:rPr>
          <w:rFonts w:hint="eastAsia" w:ascii="宋体" w:hAnsi="宋体" w:cs="宋体"/>
          <w:color w:val="000000"/>
          <w:sz w:val="24"/>
          <w:lang w:eastAsia="zh-CN"/>
        </w:rPr>
        <w:t>投标</w:t>
      </w:r>
      <w:r>
        <w:rPr>
          <w:rFonts w:hint="eastAsia" w:ascii="宋体" w:hAnsi="宋体" w:cs="宋体"/>
          <w:color w:val="000000"/>
          <w:sz w:val="24"/>
          <w:szCs w:val="24"/>
        </w:rPr>
        <w:t>保证金账户。</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户  名：重庆工程职业技术学院</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开户行：建行重庆沙坪坝上桥支行</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账  号：50001053700050001096</w:t>
      </w:r>
    </w:p>
    <w:p>
      <w:pPr>
        <w:snapToGrid w:val="0"/>
        <w:spacing w:line="380" w:lineRule="exact"/>
        <w:ind w:firstLine="482" w:firstLineChars="200"/>
        <w:textAlignment w:val="baseline"/>
        <w:rPr>
          <w:rFonts w:ascii="宋体" w:hAnsi="宋体" w:cs="宋体"/>
          <w:b/>
          <w:color w:val="000000"/>
          <w:kern w:val="0"/>
          <w:sz w:val="24"/>
          <w:szCs w:val="24"/>
        </w:rPr>
      </w:pPr>
      <w:r>
        <w:rPr>
          <w:rFonts w:hint="eastAsia" w:ascii="宋体" w:hAnsi="宋体" w:cs="宋体"/>
          <w:b/>
          <w:color w:val="000000"/>
          <w:kern w:val="0"/>
          <w:sz w:val="24"/>
          <w:szCs w:val="24"/>
        </w:rPr>
        <w:t>（1）在提交响应文件截止时间前, 供应商凭转账凭证（原件或复印件）到采购人树人楼二楼1212室开具到账凭据后，开标现场提交《</w:t>
      </w:r>
      <w:r>
        <w:rPr>
          <w:rFonts w:hint="eastAsia" w:ascii="宋体" w:hAnsi="宋体" w:cs="宋体"/>
          <w:b/>
          <w:color w:val="000000"/>
          <w:kern w:val="0"/>
          <w:sz w:val="24"/>
          <w:szCs w:val="24"/>
          <w:lang w:eastAsia="zh-CN"/>
        </w:rPr>
        <w:t>投标</w:t>
      </w:r>
      <w:r>
        <w:rPr>
          <w:rFonts w:hint="eastAsia" w:ascii="宋体" w:hAnsi="宋体" w:cs="宋体"/>
          <w:b/>
          <w:color w:val="000000"/>
          <w:kern w:val="0"/>
          <w:sz w:val="24"/>
          <w:szCs w:val="24"/>
        </w:rPr>
        <w:t>保证金登记表》（格式见招标公告附件：登记表）纸质件。未按规定提交到账证明，导致其保证金延迟退还的，其责任由供应商自行承担。</w:t>
      </w:r>
    </w:p>
    <w:p>
      <w:pPr>
        <w:snapToGrid w:val="0"/>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（2）未中标投标人的</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保证金采购人确定成交供应商后，5个工作日内按来款渠道无息退还。成交供应商</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保证金于其全额缴纳履约保证金后，5个工作日内按来款渠道无息退还。</w:t>
      </w:r>
    </w:p>
    <w:p>
      <w:pPr>
        <w:ind w:firstLine="482"/>
        <w:rPr>
          <w:b/>
          <w:bCs/>
        </w:rPr>
      </w:pPr>
      <w:bookmarkStart w:id="43" w:name="_Toc8151"/>
      <w:bookmarkStart w:id="44" w:name="_Toc76373869"/>
      <w:bookmarkStart w:id="45" w:name="_Toc21607"/>
      <w:bookmarkStart w:id="46" w:name="_Toc29406"/>
      <w:bookmarkStart w:id="47" w:name="_Toc123227028"/>
      <w:bookmarkStart w:id="48" w:name="_Toc25041"/>
      <w:r>
        <w:rPr>
          <w:rFonts w:hint="eastAsia"/>
          <w:b/>
          <w:bCs/>
        </w:rPr>
        <w:t>六、</w:t>
      </w:r>
      <w:r>
        <w:rPr>
          <w:rFonts w:hint="eastAsia" w:cs="宋体"/>
          <w:b/>
          <w:sz w:val="24"/>
          <w:szCs w:val="22"/>
        </w:rPr>
        <w:t>其它有关规定</w:t>
      </w:r>
      <w:bookmarkEnd w:id="43"/>
      <w:bookmarkEnd w:id="44"/>
      <w:bookmarkEnd w:id="45"/>
      <w:bookmarkEnd w:id="46"/>
      <w:bookmarkEnd w:id="47"/>
      <w:bookmarkEnd w:id="48"/>
    </w:p>
    <w:p>
      <w:pPr>
        <w:snapToGrid w:val="0"/>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（一）单位负责人为同一人或者存在直接控股、管理关系的不同供应商，不得参加同一合同项（包）下的政府采购活动，否则均为无效响应。</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（二）为采购项目提供整体设计、规范编制或者项目管理、监理、检测等服务的供应商，不得再参加该采购项目的其他采购活动。</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（三）本项目的补遗文件（如果有）一律在重庆市行采家网上发布，请各供应商注意下载或到采购人处领取；无论供应商下载或领取与否，均视同供应商已知晓本项目补遗文件（如果有）的内容。</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（四）超过响应文件截止时间递交的响应文件，恕不接收。</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（五）</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费用：无论</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结果如何，供应商参与本项目</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的所有费用均应由供应商自行承担。</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（六）本项目不接受联合体参与</w:t>
      </w:r>
      <w:r>
        <w:rPr>
          <w:rFonts w:hint="eastAsia" w:ascii="宋体" w:hAnsi="宋体" w:cs="宋体"/>
          <w:color w:val="000000"/>
          <w:kern w:val="0"/>
          <w:sz w:val="24"/>
          <w:szCs w:val="24"/>
          <w:lang w:eastAsia="zh-CN"/>
        </w:rPr>
        <w:t>投标</w:t>
      </w:r>
      <w:r>
        <w:rPr>
          <w:rFonts w:hint="eastAsia" w:ascii="宋体" w:hAnsi="宋体" w:cs="宋体"/>
          <w:color w:val="000000"/>
          <w:kern w:val="0"/>
          <w:sz w:val="24"/>
          <w:szCs w:val="24"/>
        </w:rPr>
        <w:t>。</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（七）本项目不接受合同分包。</w:t>
      </w:r>
    </w:p>
    <w:p>
      <w:pPr>
        <w:ind w:firstLine="480"/>
      </w:pPr>
      <w:bookmarkStart w:id="49" w:name="_Toc76373871"/>
      <w:bookmarkStart w:id="50" w:name="_Toc1044"/>
      <w:bookmarkStart w:id="51" w:name="_Toc11689"/>
      <w:bookmarkStart w:id="52" w:name="_Toc123227030"/>
      <w:bookmarkStart w:id="53" w:name="_Toc21744"/>
      <w:bookmarkStart w:id="54" w:name="_Toc11601"/>
      <w:r>
        <w:rPr>
          <w:rFonts w:hint="eastAsia"/>
          <w:lang w:val="en-US" w:eastAsia="zh-CN"/>
        </w:rPr>
        <w:t>七</w:t>
      </w:r>
      <w:r>
        <w:rPr>
          <w:rFonts w:hint="eastAsia"/>
        </w:rPr>
        <w:t>、联系方式</w:t>
      </w:r>
      <w:bookmarkEnd w:id="49"/>
      <w:bookmarkEnd w:id="50"/>
      <w:bookmarkEnd w:id="51"/>
      <w:bookmarkEnd w:id="52"/>
      <w:bookmarkEnd w:id="53"/>
      <w:bookmarkEnd w:id="54"/>
    </w:p>
    <w:p>
      <w:pPr>
        <w:pStyle w:val="32"/>
        <w:snapToGrid w:val="0"/>
        <w:spacing w:line="312" w:lineRule="auto"/>
        <w:ind w:firstLine="480" w:firstLineChars="200"/>
        <w:textAlignment w:val="baseline"/>
        <w:rPr>
          <w:rFonts w:ascii="宋体" w:hAnsi="宋体" w:cs="宋体"/>
          <w:kern w:val="2"/>
          <w:sz w:val="24"/>
          <w:szCs w:val="24"/>
        </w:rPr>
      </w:pPr>
      <w:r>
        <w:rPr>
          <w:rFonts w:hint="eastAsia" w:ascii="宋体" w:hAnsi="宋体" w:cs="宋体"/>
          <w:kern w:val="2"/>
          <w:sz w:val="24"/>
          <w:szCs w:val="24"/>
        </w:rPr>
        <w:t>采购单位全称：重庆工程职业技术学院。</w:t>
      </w:r>
    </w:p>
    <w:p>
      <w:pPr>
        <w:pStyle w:val="32"/>
        <w:snapToGrid w:val="0"/>
        <w:spacing w:line="312" w:lineRule="auto"/>
        <w:ind w:firstLine="480" w:firstLineChars="200"/>
        <w:textAlignment w:val="baseline"/>
        <w:rPr>
          <w:rFonts w:ascii="宋体" w:hAnsi="宋体" w:cs="宋体"/>
          <w:kern w:val="2"/>
          <w:sz w:val="24"/>
          <w:szCs w:val="24"/>
        </w:rPr>
      </w:pPr>
      <w:r>
        <w:rPr>
          <w:rFonts w:hint="eastAsia" w:ascii="宋体" w:hAnsi="宋体" w:cs="宋体"/>
          <w:kern w:val="2"/>
          <w:sz w:val="24"/>
          <w:szCs w:val="24"/>
        </w:rPr>
        <w:t>详细地址：重庆市江津区圣泉街道南北大道南段1111号</w:t>
      </w:r>
    </w:p>
    <w:p>
      <w:pPr>
        <w:snapToGrid w:val="0"/>
        <w:spacing w:line="400" w:lineRule="exact"/>
        <w:ind w:firstLine="480" w:firstLineChars="200"/>
        <w:textAlignment w:val="baseline"/>
        <w:rPr>
          <w:rFonts w:ascii="宋体" w:hAnsi="宋体" w:cs="宋体"/>
          <w:color w:val="000000"/>
          <w:kern w:val="0"/>
          <w:sz w:val="24"/>
          <w:szCs w:val="24"/>
        </w:rPr>
      </w:pPr>
      <w:r>
        <w:rPr>
          <w:rFonts w:hint="eastAsia" w:ascii="宋体" w:hAnsi="宋体" w:cs="宋体"/>
          <w:color w:val="000000"/>
          <w:kern w:val="0"/>
          <w:sz w:val="24"/>
          <w:szCs w:val="24"/>
        </w:rPr>
        <w:t>采购经办人：宋家亮                   电  话：（023）61065905</w:t>
      </w:r>
    </w:p>
    <w:p>
      <w:pPr>
        <w:snapToGrid w:val="0"/>
        <w:spacing w:line="400" w:lineRule="exact"/>
        <w:ind w:firstLine="480" w:firstLineChars="200"/>
        <w:textAlignment w:val="baseline"/>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rPr>
        <w:t>技术联系人：</w:t>
      </w:r>
      <w:r>
        <w:rPr>
          <w:rFonts w:hint="eastAsia" w:cs="宋体"/>
          <w:color w:val="000000"/>
          <w:kern w:val="0"/>
          <w:sz w:val="24"/>
          <w:szCs w:val="24"/>
          <w:lang w:val="en-US" w:eastAsia="zh-CN"/>
        </w:rPr>
        <w:t>吴传剑</w:t>
      </w:r>
      <w:r>
        <w:rPr>
          <w:rFonts w:hint="eastAsia" w:ascii="宋体" w:hAnsi="宋体" w:cs="宋体"/>
          <w:color w:val="000000"/>
          <w:kern w:val="0"/>
          <w:sz w:val="24"/>
          <w:szCs w:val="24"/>
        </w:rPr>
        <w:t xml:space="preserve">                   电  话：</w:t>
      </w:r>
      <w:r>
        <w:rPr>
          <w:rFonts w:hint="eastAsia"/>
          <w:lang w:val="en-US" w:eastAsia="zh-CN"/>
        </w:rPr>
        <w:t>1582489425</w:t>
      </w:r>
    </w:p>
    <w:p>
      <w:pPr>
        <w:ind w:firstLine="482"/>
        <w:rPr>
          <w:b/>
          <w:bCs/>
        </w:rPr>
      </w:pPr>
      <w:bookmarkStart w:id="55" w:name="_Toc18799"/>
      <w:bookmarkStart w:id="56" w:name="_Toc7527"/>
      <w:bookmarkStart w:id="57" w:name="_Toc28099"/>
      <w:bookmarkStart w:id="58" w:name="_Toc654"/>
      <w:bookmarkStart w:id="59" w:name="_Toc123227031"/>
      <w:r>
        <w:rPr>
          <w:rFonts w:hint="eastAsia"/>
          <w:b/>
          <w:bCs/>
          <w:lang w:val="en-US" w:eastAsia="zh-CN"/>
        </w:rPr>
        <w:t>八</w:t>
      </w:r>
      <w:r>
        <w:rPr>
          <w:rFonts w:hint="eastAsia"/>
          <w:b/>
          <w:bCs/>
        </w:rPr>
        <w:t>、其他</w:t>
      </w:r>
      <w:bookmarkEnd w:id="55"/>
      <w:bookmarkEnd w:id="56"/>
      <w:bookmarkEnd w:id="57"/>
      <w:bookmarkEnd w:id="58"/>
      <w:bookmarkEnd w:id="59"/>
    </w:p>
    <w:p>
      <w:pPr>
        <w:ind w:firstLine="482"/>
      </w:pPr>
      <w:r>
        <w:rPr>
          <w:rFonts w:hint="eastAsia"/>
          <w:b/>
          <w:bCs/>
          <w:szCs w:val="24"/>
        </w:rPr>
        <w:t>无</w:t>
      </w:r>
    </w:p>
    <w:p>
      <w:pPr>
        <w:ind w:firstLine="480"/>
      </w:pPr>
      <w:r>
        <w:br w:type="page"/>
      </w:r>
    </w:p>
    <w:p>
      <w:pPr>
        <w:pStyle w:val="3"/>
      </w:pPr>
      <w:bookmarkStart w:id="60" w:name="_Toc76373872"/>
      <w:bookmarkStart w:id="61" w:name="_Toc4033"/>
      <w:bookmarkStart w:id="62" w:name="_Toc9714"/>
      <w:bookmarkStart w:id="63" w:name="_Toc25272"/>
      <w:bookmarkStart w:id="64" w:name="_Toc14224"/>
      <w:bookmarkStart w:id="65" w:name="_Toc28302"/>
      <w:bookmarkStart w:id="66" w:name="_Toc123227032"/>
      <w:bookmarkStart w:id="67" w:name="_Toc11989"/>
      <w:bookmarkStart w:id="68" w:name="_Toc28505"/>
      <w:r>
        <w:rPr>
          <w:rFonts w:hint="eastAsia"/>
        </w:rPr>
        <w:t>第二篇</w:t>
      </w:r>
      <w:bookmarkEnd w:id="60"/>
      <w:bookmarkEnd w:id="61"/>
      <w:bookmarkEnd w:id="62"/>
      <w:bookmarkEnd w:id="63"/>
      <w:bookmarkEnd w:id="64"/>
      <w:r>
        <w:rPr>
          <w:rFonts w:hint="eastAsia"/>
        </w:rPr>
        <w:t xml:space="preserve">  项目</w:t>
      </w:r>
      <w:bookmarkEnd w:id="65"/>
      <w:bookmarkEnd w:id="66"/>
      <w:r>
        <w:rPr>
          <w:rFonts w:hint="eastAsia"/>
        </w:rPr>
        <w:t>服务要求</w:t>
      </w:r>
      <w:bookmarkEnd w:id="67"/>
      <w:bookmarkEnd w:id="68"/>
    </w:p>
    <w:p>
      <w:pPr>
        <w:spacing w:line="240" w:lineRule="auto"/>
        <w:ind w:firstLine="480" w:firstLineChars="0"/>
        <w:outlineLvl w:val="9"/>
      </w:pPr>
      <w:bookmarkStart w:id="69" w:name="_Toc21742"/>
      <w:r>
        <w:rPr>
          <w:rFonts w:hint="eastAsia" w:ascii="宋体" w:hAnsi="宋体" w:eastAsia="宋体"/>
          <w:sz w:val="24"/>
          <w:szCs w:val="28"/>
        </w:rPr>
        <w:t>“</w:t>
      </w:r>
      <w:r>
        <w:rPr>
          <w:rFonts w:hint="eastAsia" w:ascii="宋体" w:hAnsi="宋体" w:eastAsia="宋体" w:cs="宋体"/>
          <w:kern w:val="2"/>
          <w:sz w:val="24"/>
          <w:szCs w:val="28"/>
        </w:rPr>
        <w:t>※</w:t>
      </w:r>
      <w:r>
        <w:rPr>
          <w:rFonts w:hint="eastAsia" w:ascii="宋体" w:hAnsi="宋体" w:eastAsia="宋体"/>
          <w:sz w:val="24"/>
          <w:szCs w:val="28"/>
        </w:rPr>
        <w:t>”标注的技术需求为符合性审查中的实质性要求，若不满足按无效投标处理。</w:t>
      </w:r>
      <w:bookmarkEnd w:id="69"/>
    </w:p>
    <w:p>
      <w:pPr>
        <w:ind w:firstLine="480"/>
        <w:rPr>
          <w:rFonts w:hint="eastAsia" w:eastAsia="宋体"/>
          <w:lang w:val="en-US" w:eastAsia="zh-CN"/>
        </w:rPr>
      </w:pPr>
      <w:bookmarkStart w:id="70" w:name="_Toc22638"/>
      <w:r>
        <w:rPr>
          <w:rFonts w:hint="eastAsia" w:ascii="宋体" w:eastAsia="宋体"/>
          <w:b w:val="0"/>
          <w:bCs w:val="0"/>
          <w:szCs w:val="28"/>
          <w:lang w:val="en-US" w:eastAsia="zh-CN"/>
        </w:rPr>
        <w:t>“</w:t>
      </w:r>
      <w:r>
        <w:rPr>
          <w:rFonts w:hint="eastAsia" w:ascii="宋体" w:eastAsia="宋体"/>
          <w:b w:val="0"/>
          <w:bCs w:val="0"/>
          <w:szCs w:val="28"/>
        </w:rPr>
        <w:t>★</w:t>
      </w:r>
      <w:r>
        <w:rPr>
          <w:rFonts w:hint="eastAsia" w:ascii="宋体" w:eastAsia="宋体"/>
          <w:b w:val="0"/>
          <w:bCs w:val="0"/>
          <w:szCs w:val="28"/>
          <w:lang w:val="en-US" w:eastAsia="zh-CN"/>
        </w:rPr>
        <w:t>”标注的技术需求为重要技术需求，若不满足将按照评标因素中相关规定处理。</w:t>
      </w:r>
      <w:bookmarkEnd w:id="70"/>
    </w:p>
    <w:p>
      <w:pPr>
        <w:ind w:firstLine="482"/>
        <w:rPr>
          <w:b/>
          <w:bCs/>
        </w:rPr>
      </w:pPr>
      <w:bookmarkStart w:id="71" w:name="_Toc21"/>
      <w:bookmarkStart w:id="72" w:name="_Toc6861"/>
      <w:r>
        <w:rPr>
          <w:rFonts w:hint="eastAsia"/>
          <w:b/>
          <w:bCs/>
        </w:rPr>
        <w:t>一、项目基本概况介绍</w:t>
      </w:r>
      <w:bookmarkEnd w:id="71"/>
      <w:bookmarkEnd w:id="72"/>
      <w:bookmarkStart w:id="73" w:name="_Toc29331"/>
    </w:p>
    <w:p>
      <w:pPr>
        <w:ind w:firstLine="480"/>
      </w:pPr>
      <w:r>
        <w:rPr>
          <w:rFonts w:hint="eastAsia"/>
        </w:rPr>
        <w:t>由成交供应商负责重庆工程职业技术学院内投入共享电动自行车并负责后续运营管理服务，学校相关部门加强监管协调，确保共享电动自行车运行良好、管理服务到位、师生满意度高且体验感良好，运行模式、运行时间按招标文件内容执行，人员、共享电动自行车配备等按成交供应商的响应文件内容执行。</w:t>
      </w:r>
    </w:p>
    <w:p>
      <w:pPr>
        <w:ind w:firstLine="482"/>
        <w:rPr>
          <w:b/>
          <w:bCs/>
        </w:rPr>
      </w:pPr>
      <w:bookmarkStart w:id="74" w:name="_Toc10758"/>
      <w:r>
        <w:rPr>
          <w:rFonts w:hint="eastAsia"/>
          <w:b/>
          <w:bCs/>
        </w:rPr>
        <w:t>二、服务内容</w:t>
      </w:r>
      <w:bookmarkEnd w:id="73"/>
      <w:bookmarkEnd w:id="74"/>
    </w:p>
    <w:p>
      <w:pPr>
        <w:ind w:firstLine="480"/>
      </w:pPr>
      <w:r>
        <w:rPr>
          <w:rFonts w:hint="eastAsia"/>
        </w:rPr>
        <w:t>为重庆工程职业技术学院师生提供校园内共享电动自行车服务。</w:t>
      </w:r>
    </w:p>
    <w:p>
      <w:pPr>
        <w:ind w:firstLine="482"/>
        <w:rPr>
          <w:b/>
          <w:bCs/>
        </w:rPr>
      </w:pPr>
      <w:bookmarkStart w:id="75" w:name="_Toc8770"/>
      <w:r>
        <w:rPr>
          <w:rFonts w:hint="eastAsia" w:ascii="方正仿宋_GBK" w:hAnsi="宋体" w:eastAsia="方正仿宋_GBK" w:cs="宋体"/>
          <w:color w:val="auto"/>
          <w:kern w:val="0"/>
          <w:sz w:val="24"/>
          <w:szCs w:val="24"/>
        </w:rPr>
        <w:t>※</w:t>
      </w:r>
      <w:r>
        <w:rPr>
          <w:rFonts w:hint="eastAsia"/>
          <w:b/>
          <w:bCs/>
        </w:rPr>
        <w:t>三、服务期</w:t>
      </w:r>
      <w:bookmarkEnd w:id="75"/>
    </w:p>
    <w:p>
      <w:pPr>
        <w:ind w:firstLine="480"/>
      </w:pPr>
      <w:r>
        <w:rPr>
          <w:rFonts w:hint="eastAsia"/>
        </w:rPr>
        <w:t>服务期</w:t>
      </w:r>
      <w:r>
        <w:rPr>
          <w:rFonts w:hint="eastAsia"/>
          <w:lang w:val="en-US" w:eastAsia="zh-CN"/>
        </w:rPr>
        <w:t>为</w:t>
      </w:r>
      <w:r>
        <w:rPr>
          <w:rFonts w:hint="eastAsia"/>
        </w:rPr>
        <w:t>7</w:t>
      </w:r>
      <w:r>
        <w:rPr>
          <w:rFonts w:hint="eastAsia"/>
          <w:lang w:val="en-US" w:eastAsia="zh-CN"/>
        </w:rPr>
        <w:t>年（顺延年）</w:t>
      </w:r>
      <w:r>
        <w:rPr>
          <w:rFonts w:hint="eastAsia"/>
        </w:rPr>
        <w:t>。原则上寒暑假不运行，如遇特殊情况需运行或不需运行时须经采购人同意后确定。在服务期内，采购人对成交供应商合同履行情况实行考核，考核不合格采购人</w:t>
      </w:r>
      <w:r>
        <w:rPr>
          <w:rFonts w:hint="eastAsia"/>
          <w:lang w:val="en-US" w:eastAsia="zh-CN"/>
        </w:rPr>
        <w:t>书面通知成交供应商进行整改，如成交供应商不积极响应整改，采购人有权终止合同</w:t>
      </w:r>
      <w:r>
        <w:rPr>
          <w:rFonts w:hint="eastAsia"/>
        </w:rPr>
        <w:t>。</w:t>
      </w:r>
    </w:p>
    <w:p>
      <w:pPr>
        <w:ind w:firstLine="422"/>
        <w:rPr>
          <w:b/>
          <w:bCs/>
        </w:rPr>
      </w:pPr>
      <w:bookmarkStart w:id="76" w:name="_Toc15510"/>
      <w:bookmarkStart w:id="77" w:name="_Toc16659"/>
      <w:r>
        <w:rPr>
          <w:rFonts w:hint="eastAsia"/>
          <w:b/>
          <w:bCs/>
        </w:rPr>
        <w:t>四、共享电动自行车</w:t>
      </w:r>
      <w:bookmarkEnd w:id="76"/>
      <w:r>
        <w:rPr>
          <w:rFonts w:hint="eastAsia"/>
          <w:b/>
          <w:bCs/>
        </w:rPr>
        <w:t>运营</w:t>
      </w:r>
      <w:bookmarkEnd w:id="77"/>
    </w:p>
    <w:p>
      <w:pPr>
        <w:ind w:firstLine="480"/>
      </w:pPr>
      <w:r>
        <w:rPr>
          <w:rFonts w:hint="eastAsia"/>
        </w:rPr>
        <w:t xml:space="preserve">1、投放数量 </w:t>
      </w:r>
    </w:p>
    <w:p>
      <w:pPr>
        <w:ind w:firstLine="480"/>
      </w:pPr>
      <w:r>
        <w:rPr>
          <w:rFonts w:hint="eastAsia"/>
        </w:rPr>
        <w:t>第一年投入全新的共享电动自行车200辆，后续每年根据重庆工程职业技术学院师生需求，确定新增共享电动自行车数量，累计新增数量不超过300辆，总量不超过500辆。</w:t>
      </w:r>
    </w:p>
    <w:p>
      <w:pPr>
        <w:ind w:firstLine="480"/>
      </w:pPr>
      <w:r>
        <w:rPr>
          <w:rFonts w:hint="eastAsia"/>
        </w:rPr>
        <w:t xml:space="preserve">2、投放车辆基本要求 </w:t>
      </w:r>
    </w:p>
    <w:p>
      <w:pPr>
        <w:ind w:firstLine="480"/>
      </w:pPr>
      <w:r>
        <w:rPr>
          <w:rFonts w:hint="eastAsia"/>
        </w:rPr>
        <w:t>★</w:t>
      </w:r>
      <w:r>
        <w:rPr>
          <w:rFonts w:hint="eastAsia"/>
          <w:lang w:eastAsia="zh-CN"/>
        </w:rPr>
        <w:t>（</w:t>
      </w:r>
      <w:r>
        <w:rPr>
          <w:rFonts w:hint="eastAsia"/>
          <w:lang w:val="en-US" w:eastAsia="zh-CN"/>
        </w:rPr>
        <w:t>1</w:t>
      </w:r>
      <w:r>
        <w:rPr>
          <w:rFonts w:hint="eastAsia"/>
          <w:lang w:eastAsia="zh-CN"/>
        </w:rPr>
        <w:t>）</w:t>
      </w:r>
      <w:r>
        <w:rPr>
          <w:rFonts w:hint="eastAsia"/>
        </w:rPr>
        <w:t>成交供应商引进共享电动自行车型号需要符合学校地形地貌实际要求，引进的共享电动自行车的品牌型号以及后续更新换代的品牌型号均需要经过采购人同意。引进的共享电动自行车应为轻便型，且为全新车辆</w:t>
      </w:r>
      <w:r>
        <w:rPr>
          <w:rFonts w:hint="eastAsia"/>
          <w:color w:val="auto"/>
          <w:u w:val="none"/>
          <w:lang w:eastAsia="zh-CN"/>
        </w:rPr>
        <w:t>。</w:t>
      </w:r>
    </w:p>
    <w:p>
      <w:pPr>
        <w:ind w:firstLine="480"/>
      </w:pPr>
      <w:r>
        <w:rPr>
          <w:rFonts w:hint="eastAsia"/>
        </w:rPr>
        <w:t>★</w:t>
      </w:r>
      <w:r>
        <w:rPr>
          <w:rFonts w:hint="eastAsia"/>
          <w:lang w:eastAsia="zh-CN"/>
        </w:rPr>
        <w:t>（</w:t>
      </w:r>
      <w:r>
        <w:rPr>
          <w:rFonts w:hint="eastAsia"/>
          <w:lang w:val="en-US" w:eastAsia="zh-CN"/>
        </w:rPr>
        <w:t>2</w:t>
      </w:r>
      <w:r>
        <w:rPr>
          <w:rFonts w:hint="eastAsia"/>
          <w:lang w:eastAsia="zh-CN"/>
        </w:rPr>
        <w:t>）</w:t>
      </w:r>
      <w:r>
        <w:rPr>
          <w:rFonts w:hint="eastAsia"/>
        </w:rPr>
        <w:t xml:space="preserve">供应商须承诺所投放的共享电动自行车均符合《电动自行车安全技术规范》（GB17761-2018）。最高车速不超过20km/h。所投放的每一辆电动自行车均有出厂日期、出厂合格证、相关检测报告等。（提供承诺函原件） </w:t>
      </w:r>
    </w:p>
    <w:p>
      <w:pPr>
        <w:ind w:firstLine="480"/>
      </w:pPr>
      <w:r>
        <w:rPr>
          <w:rFonts w:hint="eastAsia"/>
        </w:rPr>
        <w:t>★</w:t>
      </w:r>
      <w:r>
        <w:rPr>
          <w:rFonts w:hint="eastAsia"/>
          <w:lang w:eastAsia="zh-CN"/>
        </w:rPr>
        <w:t>（</w:t>
      </w:r>
      <w:r>
        <w:rPr>
          <w:rFonts w:hint="eastAsia"/>
          <w:lang w:val="en-US" w:eastAsia="zh-CN"/>
        </w:rPr>
        <w:t>3</w:t>
      </w:r>
      <w:r>
        <w:rPr>
          <w:rFonts w:hint="eastAsia"/>
          <w:lang w:eastAsia="zh-CN"/>
        </w:rPr>
        <w:t>）</w:t>
      </w:r>
      <w:r>
        <w:rPr>
          <w:rFonts w:hint="eastAsia"/>
        </w:rPr>
        <w:t>供应商须承诺所投放的共享电动自行车均符合《互联网租赁自行车管理办法》，必须是电动骑行两轮自行车，符合国家、行业的安全技术标准要求，并具有产品合格证明，不得安装影响安全骑行的附属设施。（提供承诺函原件）</w:t>
      </w:r>
    </w:p>
    <w:p>
      <w:pPr>
        <w:ind w:firstLine="480"/>
      </w:pPr>
      <w:r>
        <w:rPr>
          <w:rFonts w:hint="eastAsia"/>
        </w:rPr>
        <w:t>★（</w:t>
      </w:r>
      <w:r>
        <w:rPr>
          <w:rFonts w:hint="eastAsia"/>
          <w:lang w:val="en-US" w:eastAsia="zh-CN"/>
        </w:rPr>
        <w:t>4</w:t>
      </w:r>
      <w:r>
        <w:rPr>
          <w:rFonts w:hint="eastAsia"/>
        </w:rPr>
        <w:t>）供应商须承诺所投放的共享电动自行车都具有实时定位、精确查找功能及故障报警功能；对未按要求停放、行驶及两人行驶断电的车辆具有语音提醒功能。（提供承诺函原件）</w:t>
      </w:r>
    </w:p>
    <w:p>
      <w:pPr>
        <w:ind w:firstLine="480"/>
      </w:pPr>
      <w:r>
        <w:rPr>
          <w:rFonts w:hint="eastAsia"/>
          <w:lang w:val="en-US" w:eastAsia="zh-CN"/>
        </w:rPr>
        <w:t>3</w:t>
      </w:r>
      <w:r>
        <w:rPr>
          <w:rFonts w:hint="eastAsia"/>
        </w:rPr>
        <w:t xml:space="preserve">、运营要求 </w:t>
      </w:r>
    </w:p>
    <w:p>
      <w:pPr>
        <w:ind w:firstLine="480"/>
      </w:pPr>
      <w:r>
        <w:rPr>
          <w:rFonts w:hint="eastAsia"/>
        </w:rPr>
        <w:t>★（1）成交供应商需根据采购人要求，在校内建设电子围栏，电子围栏建设的数量不限，位置由采购人选定，电子围栏建设所需的一切费用由成交供应商全额负责，成交供应商根据采购人选定的位置、范围进行建设，包括停车场基础平整等。所有共享电动自行车必须按要求停放在电子围栏内，不在电子围栏内停放还车的，报价文件须提供有关违停的处理方案，及时通知用车人，违停次数较多的将禁止租用共享电动自行车（提供方案及承诺函原件）。</w:t>
      </w:r>
    </w:p>
    <w:p>
      <w:pPr>
        <w:ind w:firstLine="480"/>
      </w:pPr>
      <w:r>
        <w:rPr>
          <w:rFonts w:hint="eastAsia"/>
        </w:rPr>
        <w:t>（2）成交供应商投放的共享电动自行车只限于校园内骑行，不出校园。同时须建设还车点指示牌、划线立牌，引导用车人规范还车。</w:t>
      </w:r>
    </w:p>
    <w:p>
      <w:pPr>
        <w:ind w:firstLine="480"/>
      </w:pPr>
      <w:r>
        <w:rPr>
          <w:rFonts w:hint="eastAsia"/>
        </w:rPr>
        <w:t>（3）成交供应商须建立投诉处理制度，设立服务点，并向重庆工程职业技术学院全校师生公开投诉途径、处理方式和办结时限。</w:t>
      </w:r>
    </w:p>
    <w:p>
      <w:pPr>
        <w:ind w:firstLine="480"/>
      </w:pPr>
      <w:r>
        <w:rPr>
          <w:rFonts w:hint="eastAsia"/>
        </w:rPr>
        <w:t>（4）成交供应商须派工作人员在重庆工程职业技术学院内专门负责运营，加强车辆调度管理，及时平衡区域车辆供给，建立网格化巡查制度，及时发现并处理车辆妨碍通行、不按规定停放、影响校容环境等问题，成交供应商所派驻人员不少于投放车辆的百分之二。</w:t>
      </w:r>
    </w:p>
    <w:p>
      <w:pPr>
        <w:ind w:firstLine="480"/>
      </w:pPr>
      <w:r>
        <w:rPr>
          <w:rFonts w:hint="eastAsia"/>
        </w:rPr>
        <w:t>（5）成交供应商须每天给车辆更换电量充足的电池，检查电池安全性以及车辆情况，排除安全隐患。</w:t>
      </w:r>
    </w:p>
    <w:p>
      <w:pPr>
        <w:ind w:firstLine="480"/>
      </w:pPr>
      <w:r>
        <w:rPr>
          <w:rFonts w:hint="eastAsia"/>
        </w:rPr>
        <w:t>（6）成交供应商建设中央充电房，须经重庆工程职业技术学院有关职能部门审批同意。</w:t>
      </w:r>
    </w:p>
    <w:p>
      <w:pPr>
        <w:ind w:firstLine="480"/>
      </w:pPr>
      <w:r>
        <w:rPr>
          <w:rFonts w:hint="eastAsia"/>
        </w:rPr>
        <w:t>（7）共享电动自行车运营期间产生的电费，由成交供应商承担。</w:t>
      </w:r>
    </w:p>
    <w:p>
      <w:pPr>
        <w:ind w:firstLine="480"/>
      </w:pPr>
      <w:r>
        <w:rPr>
          <w:rFonts w:hint="eastAsia"/>
          <w:lang w:val="en-US" w:eastAsia="zh-CN"/>
        </w:rPr>
        <w:t>4</w:t>
      </w:r>
      <w:r>
        <w:rPr>
          <w:rFonts w:hint="eastAsia"/>
        </w:rPr>
        <w:t>、车辆调度</w:t>
      </w:r>
    </w:p>
    <w:p>
      <w:pPr>
        <w:ind w:firstLine="480"/>
      </w:pPr>
      <w:r>
        <w:rPr>
          <w:rFonts w:hint="eastAsia"/>
        </w:rPr>
        <w:t>（1）成交供应商运维团队应实时准确掌握区域内共享车辆需求信息，实时发出指令进行调度管理，平衡共享车辆的需求量。</w:t>
      </w:r>
    </w:p>
    <w:p>
      <w:pPr>
        <w:ind w:firstLine="480"/>
      </w:pPr>
      <w:r>
        <w:rPr>
          <w:rFonts w:hint="eastAsia"/>
        </w:rPr>
        <w:t>（2）成交供应商运维团队应根据共享车辆在客流高峰时期的用车情况，制定完善的早晚高峰时段共享车辆调运计划，满足高峰使用需求。</w:t>
      </w:r>
    </w:p>
    <w:p>
      <w:pPr>
        <w:ind w:firstLine="480"/>
      </w:pPr>
      <w:r>
        <w:rPr>
          <w:rFonts w:hint="eastAsia"/>
        </w:rPr>
        <w:t>（3）成交供应商运维团队应配备与共享出行服务需求相适应的调运专用车辆以及相关调运设施设备，调运人员需服从调度安排，并确保被调运车辆的完好。</w:t>
      </w:r>
    </w:p>
    <w:p>
      <w:pPr>
        <w:ind w:firstLine="480"/>
      </w:pPr>
      <w:r>
        <w:rPr>
          <w:rFonts w:hint="eastAsia"/>
        </w:rPr>
        <w:t>（4）供应商须承诺所投放的每台电动自行车均应配备头盔，骑行头盔应符合《运动头盔自行车、滑板、轮滑运动头盔的安全要求和试验方法》标准。</w:t>
      </w:r>
    </w:p>
    <w:p>
      <w:pPr>
        <w:ind w:firstLine="480"/>
      </w:pPr>
      <w:r>
        <w:rPr>
          <w:rFonts w:hint="eastAsia"/>
          <w:lang w:val="en-US" w:eastAsia="zh-CN"/>
        </w:rPr>
        <w:t>5</w:t>
      </w:r>
      <w:r>
        <w:rPr>
          <w:rFonts w:hint="eastAsia"/>
        </w:rPr>
        <w:t>、管理要求</w:t>
      </w:r>
    </w:p>
    <w:p>
      <w:pPr>
        <w:ind w:firstLine="480"/>
      </w:pPr>
      <w:r>
        <w:rPr>
          <w:rFonts w:hint="eastAsia"/>
        </w:rPr>
        <w:t>（1）成交供应商运维团队应提供电话客服服务，如电话客服服务无法解决问题，应在15分钟内到达现场处理。</w:t>
      </w:r>
    </w:p>
    <w:p>
      <w:pPr>
        <w:ind w:firstLine="480"/>
      </w:pPr>
      <w:r>
        <w:rPr>
          <w:rFonts w:hint="eastAsia"/>
        </w:rPr>
        <w:t>（2）成交供应商运维团队应定期为共享车辆进行保养工作，保持车辆</w:t>
      </w:r>
      <w:r>
        <w:rPr>
          <w:rFonts w:hint="eastAsia"/>
          <w:lang w:val="en-US" w:eastAsia="zh-CN"/>
        </w:rPr>
        <w:t>整齐</w:t>
      </w:r>
      <w:r>
        <w:rPr>
          <w:rFonts w:hint="eastAsia"/>
        </w:rPr>
        <w:t>卫生，及时回收存在故障或者安全隐患的车辆。</w:t>
      </w:r>
    </w:p>
    <w:p>
      <w:pPr>
        <w:ind w:firstLine="480"/>
      </w:pPr>
      <w:r>
        <w:rPr>
          <w:rFonts w:hint="eastAsia"/>
        </w:rPr>
        <w:t>（3）成交供应商运维团队人员要尊重用户，态度和蔼，要耐心解答用户的询问。项目管理人员能根据不同情况及时处理日常服务、投诉等方面出现的问题，并具有一定的应变能力。</w:t>
      </w:r>
    </w:p>
    <w:p>
      <w:pPr>
        <w:ind w:firstLine="480"/>
      </w:pPr>
      <w:r>
        <w:rPr>
          <w:rFonts w:hint="eastAsia"/>
        </w:rPr>
        <w:t>（4）成交供应商负责全校电动自行车的车辆管理，服从采购人工作安排指挥。</w:t>
      </w:r>
    </w:p>
    <w:p>
      <w:pPr>
        <w:ind w:firstLine="480"/>
      </w:pPr>
      <w:r>
        <w:rPr>
          <w:rFonts w:hint="eastAsia"/>
        </w:rPr>
        <w:t>（5）供应商需对经营管理有完整的方案和策划，建立完善的安全消防管理，应急措施。</w:t>
      </w:r>
    </w:p>
    <w:p>
      <w:pPr>
        <w:ind w:firstLine="480"/>
      </w:pPr>
      <w:r>
        <w:rPr>
          <w:rFonts w:hint="eastAsia"/>
        </w:rPr>
        <w:t>（6）采购人可为成交供应商提供基础办公场所，满足部分办公需求、充电及维修。投放共享电动自行车的停放场地由成交供应商与重庆工程职业技术学院有关职能部门协商规划。</w:t>
      </w:r>
    </w:p>
    <w:p>
      <w:pPr>
        <w:ind w:firstLine="480"/>
      </w:pPr>
      <w:r>
        <w:rPr>
          <w:rFonts w:hint="eastAsia"/>
        </w:rPr>
        <w:t>（7）供应商须同意吸收采购方推荐的相关创新创业学生团队参与到涉及但不限于服务策划、宣传和实际管理工作，并支付相应报酬。</w:t>
      </w:r>
    </w:p>
    <w:p>
      <w:pPr>
        <w:ind w:firstLine="480"/>
      </w:pPr>
      <w:r>
        <w:rPr>
          <w:rFonts w:hint="eastAsia"/>
          <w:lang w:val="en-US" w:eastAsia="zh-CN"/>
        </w:rPr>
        <w:t>6</w:t>
      </w:r>
      <w:r>
        <w:rPr>
          <w:rFonts w:hint="eastAsia"/>
        </w:rPr>
        <w:t>、运营服务系统要求</w:t>
      </w:r>
    </w:p>
    <w:p>
      <w:pPr>
        <w:ind w:firstLine="480"/>
      </w:pPr>
      <w:r>
        <w:rPr>
          <w:rFonts w:hint="eastAsia"/>
        </w:rPr>
        <w:t>（1）成交供应商需要具备共享车辆管理的相关信息服务系统，包含但不限于共享车辆出行用户使用的小程序、管理服务后台系统、运维管理APP等。</w:t>
      </w:r>
    </w:p>
    <w:p>
      <w:pPr>
        <w:ind w:firstLine="480"/>
      </w:pPr>
      <w:r>
        <w:rPr>
          <w:rFonts w:hint="eastAsia"/>
        </w:rPr>
        <w:t>（2）系统功能要求包含但不限于：</w:t>
      </w:r>
    </w:p>
    <w:p>
      <w:pPr>
        <w:ind w:firstLine="480"/>
      </w:pPr>
      <w:r>
        <w:rPr>
          <w:rFonts w:hint="eastAsia"/>
        </w:rPr>
        <w:t>①系统须具有区域通借通还、计时计费功能；</w:t>
      </w:r>
    </w:p>
    <w:p>
      <w:pPr>
        <w:ind w:firstLine="480"/>
      </w:pPr>
      <w:r>
        <w:rPr>
          <w:rFonts w:hint="eastAsia"/>
        </w:rPr>
        <w:t>②系统须具有费用结算功能；</w:t>
      </w:r>
    </w:p>
    <w:p>
      <w:pPr>
        <w:ind w:firstLine="480"/>
      </w:pPr>
      <w:r>
        <w:rPr>
          <w:rFonts w:hint="eastAsia"/>
        </w:rPr>
        <w:t>③系统须具有实名认证登记功能；</w:t>
      </w:r>
    </w:p>
    <w:p>
      <w:pPr>
        <w:ind w:firstLine="480"/>
      </w:pPr>
      <w:r>
        <w:rPr>
          <w:rFonts w:hint="eastAsia"/>
        </w:rPr>
        <w:t>④系统须具有单人骑行功能、两人骑行自动断电及语音提示功能；</w:t>
      </w:r>
    </w:p>
    <w:p>
      <w:pPr>
        <w:ind w:firstLine="480"/>
      </w:pPr>
      <w:r>
        <w:rPr>
          <w:rFonts w:hint="eastAsia"/>
        </w:rPr>
        <w:t>⑤系统须具有黑名单制度、随手拍功能；供应商根据甲方提供的违规骑车学生信息，有义务配合甲方对骑行人进行处理。</w:t>
      </w:r>
    </w:p>
    <w:p>
      <w:pPr>
        <w:ind w:firstLine="480"/>
      </w:pPr>
      <w:r>
        <w:rPr>
          <w:rFonts w:hint="eastAsia"/>
        </w:rPr>
        <w:t>⑥系统须具有一键还车功能。</w:t>
      </w:r>
    </w:p>
    <w:p>
      <w:pPr>
        <w:ind w:firstLine="480"/>
      </w:pPr>
      <w:r>
        <w:rPr>
          <w:rFonts w:hint="eastAsia"/>
          <w:lang w:val="en-US" w:eastAsia="zh-CN"/>
        </w:rPr>
        <w:t>7</w:t>
      </w:r>
      <w:r>
        <w:rPr>
          <w:rFonts w:hint="eastAsia"/>
        </w:rPr>
        <w:t>、安全要求</w:t>
      </w:r>
    </w:p>
    <w:p>
      <w:pPr>
        <w:ind w:firstLine="480"/>
      </w:pPr>
      <w:r>
        <w:rPr>
          <w:rFonts w:hint="eastAsia"/>
        </w:rPr>
        <w:t xml:space="preserve">（1）提供的共享电动自行车需要有相关安全资质，应符合国家规定的相关安全标准及要求。 </w:t>
      </w:r>
    </w:p>
    <w:p>
      <w:pPr>
        <w:ind w:firstLine="480"/>
      </w:pPr>
      <w:r>
        <w:rPr>
          <w:rFonts w:hint="eastAsia"/>
        </w:rPr>
        <w:t>（2）提供的共享电动自行车不应对社会、用户安全构成危害；</w:t>
      </w:r>
    </w:p>
    <w:p>
      <w:pPr>
        <w:ind w:firstLine="480"/>
      </w:pPr>
      <w:r>
        <w:rPr>
          <w:rFonts w:hint="eastAsia"/>
        </w:rPr>
        <w:t>（3）提供的共享电动自行车应使用“换电池”方式进行充电；</w:t>
      </w:r>
    </w:p>
    <w:p>
      <w:pPr>
        <w:ind w:firstLine="480"/>
      </w:pPr>
      <w:r>
        <w:rPr>
          <w:rFonts w:hint="eastAsia"/>
        </w:rPr>
        <w:t>★（4）供应商需承诺与采购人签订保密协议，保障校内用户的个人信息安全。（提供承诺函原件）</w:t>
      </w:r>
    </w:p>
    <w:p>
      <w:pPr>
        <w:ind w:firstLine="480"/>
      </w:pPr>
      <w:r>
        <w:rPr>
          <w:rFonts w:hint="eastAsia" w:ascii="方正仿宋_GBK" w:hAnsi="宋体" w:eastAsia="方正仿宋_GBK" w:cs="宋体"/>
          <w:color w:val="auto"/>
          <w:kern w:val="0"/>
          <w:sz w:val="24"/>
          <w:szCs w:val="24"/>
        </w:rPr>
        <w:t>※</w:t>
      </w:r>
      <w:r>
        <w:rPr>
          <w:rFonts w:hint="eastAsia"/>
          <w:lang w:val="en-US" w:eastAsia="zh-CN"/>
        </w:rPr>
        <w:t>8</w:t>
      </w:r>
      <w:r>
        <w:rPr>
          <w:rFonts w:hint="eastAsia"/>
        </w:rPr>
        <w:t>、保险要求</w:t>
      </w:r>
    </w:p>
    <w:p>
      <w:pPr>
        <w:ind w:firstLine="480"/>
      </w:pPr>
      <w:r>
        <w:rPr>
          <w:rFonts w:hint="eastAsia"/>
          <w:lang w:val="en-US" w:eastAsia="zh-CN"/>
        </w:rPr>
        <w:t>每一辆</w:t>
      </w:r>
      <w:r>
        <w:rPr>
          <w:rFonts w:hint="eastAsia"/>
        </w:rPr>
        <w:t>共享电动自行车人生意外险（含第三者责任险）保</w:t>
      </w:r>
      <w:bookmarkStart w:id="336" w:name="_GoBack"/>
      <w:bookmarkEnd w:id="336"/>
      <w:r>
        <w:rPr>
          <w:rFonts w:hint="eastAsia"/>
        </w:rPr>
        <w:t>额不低于人民币100万元/每年。</w:t>
      </w:r>
    </w:p>
    <w:p>
      <w:pPr>
        <w:ind w:firstLine="480"/>
      </w:pPr>
      <w:r>
        <w:rPr>
          <w:rFonts w:hint="eastAsia"/>
          <w:lang w:val="en-US" w:eastAsia="zh-CN"/>
        </w:rPr>
        <w:t>9</w:t>
      </w:r>
      <w:r>
        <w:rPr>
          <w:rFonts w:hint="eastAsia"/>
        </w:rPr>
        <w:t>.成交供应商须自觉遵守学校各项规章制度，不得与学校正常教学、工作秩序发生冲突；应将所有工作人员名单提前交学校管理部门备案，严禁有过不良记录的人员进校服务。</w:t>
      </w:r>
    </w:p>
    <w:p>
      <w:pPr>
        <w:ind w:firstLine="480"/>
      </w:pPr>
      <w:r>
        <w:rPr>
          <w:rFonts w:hint="eastAsia"/>
          <w:lang w:val="en-US" w:eastAsia="zh-CN"/>
        </w:rPr>
        <w:t>10</w:t>
      </w:r>
      <w:r>
        <w:rPr>
          <w:rFonts w:hint="eastAsia"/>
        </w:rPr>
        <w:t>.成交供应商以其本公司的名义在校进行运行，自主经营，自负盈亏，运行所产生的水、电等费用按照学校标准缴纳。学校不承担任何责任。</w:t>
      </w:r>
    </w:p>
    <w:p>
      <w:pPr>
        <w:ind w:firstLine="422"/>
        <w:rPr>
          <w:b/>
          <w:bCs/>
        </w:rPr>
      </w:pPr>
      <w:bookmarkStart w:id="78" w:name="_Toc4915"/>
      <w:bookmarkStart w:id="79" w:name="_Toc25798"/>
      <w:r>
        <w:rPr>
          <w:rFonts w:hint="eastAsia"/>
          <w:b/>
          <w:bCs/>
          <w:kern w:val="0"/>
          <w:sz w:val="21"/>
          <w:szCs w:val="21"/>
        </w:rPr>
        <w:t>※</w:t>
      </w:r>
      <w:r>
        <w:rPr>
          <w:rFonts w:hint="eastAsia"/>
          <w:b/>
          <w:bCs/>
        </w:rPr>
        <w:t>五、服务要求（以下所涉及的相关扣款从履约保证金中扣除）</w:t>
      </w:r>
      <w:bookmarkEnd w:id="78"/>
      <w:bookmarkEnd w:id="79"/>
    </w:p>
    <w:p>
      <w:pPr>
        <w:ind w:firstLine="480"/>
      </w:pPr>
      <w:r>
        <w:rPr>
          <w:rFonts w:hint="eastAsia"/>
        </w:rPr>
        <w:t>1.合同执行期间，成交供应商确保项目做好安全规范管理运行，如造成交通事故或安全事故，由成交供应商承担所有责任。</w:t>
      </w:r>
    </w:p>
    <w:p>
      <w:pPr>
        <w:ind w:firstLine="480"/>
      </w:pPr>
      <w:r>
        <w:rPr>
          <w:rFonts w:hint="eastAsia"/>
        </w:rPr>
        <w:t>2.成交供应商应服从校方管理部门的管理和全校师生员工的监督，如有违反校方要求应给予以下相应处罚：</w:t>
      </w:r>
    </w:p>
    <w:p>
      <w:pPr>
        <w:ind w:firstLine="480"/>
      </w:pPr>
      <w:r>
        <w:rPr>
          <w:rFonts w:hint="eastAsia"/>
        </w:rPr>
        <w:t>2.1严禁故障电动自行车投放。成交供应商应定期对所有车辆进行保养维护并做好记录，故障电动自行车不得投放运行，如有违反扣款200元/次。</w:t>
      </w:r>
    </w:p>
    <w:p>
      <w:pPr>
        <w:ind w:firstLine="480"/>
      </w:pPr>
      <w:r>
        <w:rPr>
          <w:rFonts w:hint="eastAsia"/>
        </w:rPr>
        <w:t>2.2响应速度。项目运行过程中，成交供应商的工作人员应在10分钟内响应所有问题，及时到达现场解决问题。如有违反扣款200元/次。</w:t>
      </w:r>
    </w:p>
    <w:p>
      <w:pPr>
        <w:ind w:firstLine="480"/>
      </w:pPr>
      <w:r>
        <w:rPr>
          <w:rFonts w:hint="eastAsia"/>
        </w:rPr>
        <w:t>2.3服务态度。成交供应商在项目运行过程中，所有工作人员须保持文明服务，礼貌待人，不能说脏话，不能有态度恶劣行为,违者扣款50元/次。</w:t>
      </w:r>
    </w:p>
    <w:p>
      <w:pPr>
        <w:ind w:firstLine="480"/>
      </w:pPr>
      <w:r>
        <w:rPr>
          <w:rFonts w:hint="eastAsia"/>
        </w:rPr>
        <w:t>2.4采购人有权对成交供应商共享电动自行车车况进行例行检查，如有问题则书面通知成交供应商整改。成交供应商必须立即进行整改，整改完毕应及时向采购人管理人员申请，同意后方可运行，违者扣款200元/次。</w:t>
      </w:r>
    </w:p>
    <w:p>
      <w:pPr>
        <w:ind w:firstLine="480"/>
      </w:pPr>
      <w:r>
        <w:rPr>
          <w:rFonts w:hint="eastAsia"/>
        </w:rPr>
        <w:t>2.5以上处罚是采购人对成交供应商公司的处罚，扣款的法律性质是成交供应商支付给采购人的违约金；采购人收取违约金后，应当向成交供应商开具正规收据。</w:t>
      </w:r>
    </w:p>
    <w:p>
      <w:pPr>
        <w:ind w:firstLine="482"/>
        <w:rPr>
          <w:b/>
          <w:bCs/>
        </w:rPr>
      </w:pPr>
      <w:bookmarkStart w:id="80" w:name="_Toc4363"/>
      <w:r>
        <w:rPr>
          <w:rFonts w:hint="eastAsia" w:ascii="方正仿宋_GBK" w:hAnsi="宋体" w:eastAsia="方正仿宋_GBK" w:cs="宋体"/>
          <w:color w:val="auto"/>
          <w:kern w:val="0"/>
          <w:sz w:val="24"/>
          <w:szCs w:val="24"/>
        </w:rPr>
        <w:t>※</w:t>
      </w:r>
      <w:r>
        <w:rPr>
          <w:rFonts w:hint="eastAsia"/>
          <w:b/>
          <w:bCs/>
        </w:rPr>
        <w:t>六、保证金及场地资源占用费</w:t>
      </w:r>
      <w:bookmarkEnd w:id="80"/>
    </w:p>
    <w:p>
      <w:pPr>
        <w:ind w:firstLine="480"/>
      </w:pPr>
      <w:r>
        <w:rPr>
          <w:rFonts w:hint="eastAsia"/>
        </w:rPr>
        <w:t>1.签订合同前，成交供应商一次性缴纳履约保证金10万元。</w:t>
      </w:r>
    </w:p>
    <w:p>
      <w:pPr>
        <w:ind w:firstLine="480"/>
      </w:pPr>
      <w:r>
        <w:rPr>
          <w:rFonts w:hint="eastAsia"/>
        </w:rPr>
        <w:t>2.采购人不收取成交供应商相应场地资源占用费等费用，但经营性质为自负盈亏。</w:t>
      </w:r>
    </w:p>
    <w:p>
      <w:pPr>
        <w:ind w:firstLine="482"/>
        <w:rPr>
          <w:rFonts w:hint="default" w:eastAsia="宋体"/>
          <w:b/>
          <w:bCs/>
          <w:lang w:val="en-US" w:eastAsia="zh-CN"/>
        </w:rPr>
      </w:pPr>
      <w:bookmarkStart w:id="81" w:name="_Toc11872"/>
      <w:bookmarkStart w:id="82" w:name="_Toc15112"/>
      <w:r>
        <w:rPr>
          <w:rFonts w:hint="eastAsia" w:ascii="方正仿宋_GBK" w:hAnsi="宋体" w:eastAsia="方正仿宋_GBK" w:cs="宋体"/>
          <w:color w:val="auto"/>
          <w:kern w:val="0"/>
          <w:sz w:val="24"/>
          <w:szCs w:val="24"/>
        </w:rPr>
        <w:t>※</w:t>
      </w:r>
      <w:r>
        <w:rPr>
          <w:rFonts w:hint="eastAsia"/>
          <w:b/>
          <w:bCs/>
        </w:rPr>
        <w:t>七、</w:t>
      </w:r>
      <w:bookmarkEnd w:id="81"/>
      <w:bookmarkEnd w:id="82"/>
      <w:r>
        <w:rPr>
          <w:rFonts w:hint="eastAsia"/>
          <w:b/>
          <w:bCs/>
          <w:lang w:val="en-US" w:eastAsia="zh-CN"/>
        </w:rPr>
        <w:t>年度考核</w:t>
      </w:r>
    </w:p>
    <w:p>
      <w:pPr>
        <w:ind w:firstLine="480"/>
        <w:rPr>
          <w:rFonts w:hint="eastAsia"/>
          <w:highlight w:val="none"/>
          <w:lang w:val="en-US"/>
        </w:rPr>
      </w:pPr>
      <w:r>
        <w:rPr>
          <w:rFonts w:hint="eastAsia"/>
          <w:highlight w:val="none"/>
        </w:rPr>
        <w:t>采购人每年</w:t>
      </w:r>
      <w:r>
        <w:rPr>
          <w:rFonts w:hint="eastAsia"/>
          <w:highlight w:val="none"/>
          <w:lang w:val="en-US" w:eastAsia="zh-CN"/>
        </w:rPr>
        <w:t>按照《</w:t>
      </w:r>
      <w:r>
        <w:rPr>
          <w:rFonts w:hint="eastAsia"/>
          <w:b w:val="0"/>
          <w:bCs w:val="0"/>
          <w:highlight w:val="none"/>
        </w:rPr>
        <w:t>重庆工程职业技术学院校园共享电动自行车运行服务年度考核细则</w:t>
      </w:r>
      <w:r>
        <w:rPr>
          <w:rFonts w:hint="eastAsia"/>
          <w:highlight w:val="none"/>
          <w:lang w:val="en-US" w:eastAsia="zh-CN"/>
        </w:rPr>
        <w:t>》（第六篇附页部分）</w:t>
      </w:r>
      <w:r>
        <w:rPr>
          <w:rFonts w:hint="eastAsia"/>
          <w:highlight w:val="none"/>
        </w:rPr>
        <w:t>对成交供应商的服务进行考核，考核等级及履约保证金</w:t>
      </w:r>
      <w:r>
        <w:rPr>
          <w:rFonts w:hint="eastAsia"/>
          <w:highlight w:val="none"/>
          <w:lang w:val="en-US" w:eastAsia="zh-CN"/>
        </w:rPr>
        <w:t>的扣除如下：</w:t>
      </w:r>
    </w:p>
    <w:p>
      <w:pPr>
        <w:ind w:firstLine="480"/>
        <w:rPr>
          <w:rFonts w:hint="eastAsia" w:eastAsia="宋体"/>
          <w:highlight w:val="none"/>
          <w:lang w:eastAsia="zh-CN"/>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优秀：考核分</w:t>
      </w:r>
      <w:r>
        <w:rPr>
          <w:rFonts w:hint="default" w:ascii="Arial" w:hAnsi="Arial" w:cs="Arial"/>
          <w:highlight w:val="none"/>
        </w:rPr>
        <w:t>≥</w:t>
      </w:r>
      <w:r>
        <w:rPr>
          <w:rFonts w:hint="eastAsia" w:ascii="Arial" w:hAnsi="Arial" w:cs="Arial"/>
          <w:highlight w:val="none"/>
          <w:lang w:val="en-US" w:eastAsia="zh-CN"/>
        </w:rPr>
        <w:t>85分</w:t>
      </w:r>
      <w:r>
        <w:rPr>
          <w:rFonts w:hint="eastAsia"/>
          <w:highlight w:val="none"/>
          <w:lang w:val="en-US" w:eastAsia="zh-CN"/>
        </w:rPr>
        <w:t>，</w:t>
      </w:r>
      <w:r>
        <w:rPr>
          <w:rFonts w:hint="eastAsia"/>
          <w:highlight w:val="none"/>
        </w:rPr>
        <w:t xml:space="preserve"> 不扣履约保证金</w:t>
      </w:r>
      <w:r>
        <w:rPr>
          <w:rFonts w:hint="eastAsia"/>
          <w:highlight w:val="none"/>
          <w:lang w:eastAsia="zh-CN"/>
        </w:rPr>
        <w:t>。</w:t>
      </w:r>
    </w:p>
    <w:p>
      <w:pPr>
        <w:ind w:firstLine="48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良好：</w:t>
      </w:r>
      <w:r>
        <w:rPr>
          <w:rFonts w:hint="eastAsia"/>
          <w:highlight w:val="none"/>
          <w:lang w:val="en-US" w:eastAsia="zh-CN"/>
        </w:rPr>
        <w:t>75分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85分，</w:t>
      </w:r>
      <w:r>
        <w:rPr>
          <w:rFonts w:hint="eastAsia"/>
          <w:highlight w:val="none"/>
        </w:rPr>
        <w:t xml:space="preserve"> 扣履约保证金1万元，扣</w:t>
      </w:r>
      <w:r>
        <w:rPr>
          <w:rFonts w:hint="eastAsia"/>
          <w:highlight w:val="none"/>
          <w:lang w:val="en-US" w:eastAsia="zh-CN"/>
        </w:rPr>
        <w:t>除</w:t>
      </w:r>
      <w:r>
        <w:rPr>
          <w:rFonts w:hint="eastAsia"/>
          <w:highlight w:val="none"/>
        </w:rPr>
        <w:t>部分成交供应商在当年补齐。</w:t>
      </w:r>
    </w:p>
    <w:p>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合格：</w:t>
      </w:r>
      <w:r>
        <w:rPr>
          <w:rFonts w:hint="eastAsia"/>
          <w:highlight w:val="none"/>
          <w:lang w:val="en-US" w:eastAsia="zh-CN"/>
        </w:rPr>
        <w:t>60分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75分，</w:t>
      </w:r>
      <w:r>
        <w:rPr>
          <w:rFonts w:hint="eastAsia"/>
          <w:highlight w:val="none"/>
        </w:rPr>
        <w:t>扣履约保证金3万元，扣</w:t>
      </w:r>
      <w:r>
        <w:rPr>
          <w:rFonts w:hint="eastAsia"/>
          <w:highlight w:val="none"/>
          <w:lang w:val="en-US" w:eastAsia="zh-CN"/>
        </w:rPr>
        <w:t>除</w:t>
      </w:r>
      <w:r>
        <w:rPr>
          <w:rFonts w:hint="eastAsia"/>
          <w:highlight w:val="none"/>
        </w:rPr>
        <w:t>部分成交供应商在当年补齐。</w:t>
      </w:r>
    </w:p>
    <w:p>
      <w:pPr>
        <w:ind w:firstLine="480"/>
        <w:rPr>
          <w:rFonts w:hint="eastAsia"/>
          <w:highlight w:val="yellow"/>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不合格：考核分</w:t>
      </w:r>
      <w:r>
        <w:rPr>
          <w:rFonts w:hint="eastAsia" w:ascii="微软雅黑" w:hAnsi="微软雅黑" w:eastAsia="微软雅黑" w:cs="微软雅黑"/>
          <w:highlight w:val="none"/>
        </w:rPr>
        <w:t>&lt;</w:t>
      </w:r>
      <w:r>
        <w:rPr>
          <w:rFonts w:hint="eastAsia" w:eastAsia="微软雅黑"/>
          <w:highlight w:val="none"/>
          <w:lang w:val="en-US" w:eastAsia="zh-CN"/>
        </w:rPr>
        <w:t>60分</w:t>
      </w:r>
      <w:r>
        <w:rPr>
          <w:rFonts w:hint="eastAsia"/>
          <w:highlight w:val="none"/>
          <w:lang w:eastAsia="zh-CN"/>
        </w:rPr>
        <w:t>，</w:t>
      </w:r>
      <w:r>
        <w:rPr>
          <w:rFonts w:hint="eastAsia"/>
          <w:color w:val="000000" w:themeColor="text1"/>
          <w:highlight w:val="none"/>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书面通知成交供应商进行整改，如成交供应商不积极响应整改，采购人有权终止合同</w:t>
      </w:r>
      <w:r>
        <w:rPr>
          <w:rFonts w:hint="eastAsia"/>
          <w:highlight w:val="none"/>
        </w:rPr>
        <w:t>。</w:t>
      </w: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ind w:firstLine="480"/>
        <w:rPr>
          <w:rFonts w:hint="eastAsia"/>
        </w:rPr>
      </w:pPr>
    </w:p>
    <w:p>
      <w:pPr>
        <w:pStyle w:val="3"/>
      </w:pPr>
      <w:bookmarkStart w:id="83" w:name="_Toc29225"/>
      <w:bookmarkStart w:id="84" w:name="_Toc29620"/>
      <w:bookmarkStart w:id="85" w:name="_Toc30465"/>
      <w:bookmarkStart w:id="86" w:name="_Toc76373876"/>
      <w:bookmarkStart w:id="87" w:name="_Toc6355"/>
      <w:bookmarkStart w:id="88" w:name="_Toc7314"/>
      <w:bookmarkStart w:id="89" w:name="_Toc5862"/>
      <w:bookmarkStart w:id="90" w:name="_Toc123227035"/>
      <w:bookmarkStart w:id="91" w:name="_Toc6315"/>
      <w:r>
        <w:rPr>
          <w:rFonts w:hint="eastAsia"/>
        </w:rPr>
        <w:t xml:space="preserve">第三篇  </w:t>
      </w:r>
      <w:bookmarkEnd w:id="83"/>
      <w:bookmarkEnd w:id="84"/>
      <w:bookmarkEnd w:id="85"/>
      <w:bookmarkEnd w:id="86"/>
      <w:bookmarkEnd w:id="87"/>
      <w:r>
        <w:rPr>
          <w:rFonts w:hint="eastAsia"/>
        </w:rPr>
        <w:t>项目商务需求</w:t>
      </w:r>
      <w:bookmarkEnd w:id="88"/>
      <w:bookmarkEnd w:id="89"/>
      <w:bookmarkEnd w:id="90"/>
      <w:bookmarkEnd w:id="91"/>
    </w:p>
    <w:p>
      <w:pPr>
        <w:ind w:firstLine="482"/>
        <w:rPr>
          <w:b/>
          <w:bCs/>
        </w:rPr>
      </w:pPr>
      <w:bookmarkStart w:id="92" w:name="_Toc13716"/>
      <w:bookmarkStart w:id="93" w:name="_Toc267320049"/>
      <w:r>
        <w:rPr>
          <w:rFonts w:hint="eastAsia"/>
          <w:b/>
          <w:bCs/>
        </w:rPr>
        <w:t>一、服务期、服务地点及考核方式</w:t>
      </w:r>
      <w:bookmarkEnd w:id="92"/>
      <w:bookmarkEnd w:id="93"/>
    </w:p>
    <w:p>
      <w:pPr>
        <w:ind w:firstLine="482"/>
        <w:rPr>
          <w:b/>
          <w:bCs/>
        </w:rPr>
      </w:pPr>
      <w:r>
        <w:rPr>
          <w:rFonts w:hint="eastAsia"/>
          <w:b/>
          <w:bCs/>
        </w:rPr>
        <w:t>（一）服务期</w:t>
      </w:r>
    </w:p>
    <w:p>
      <w:pPr>
        <w:ind w:firstLine="480"/>
      </w:pPr>
      <w:r>
        <w:rPr>
          <w:rFonts w:hint="eastAsia"/>
        </w:rPr>
        <w:t>成交供应商在采购合同签订后服务7年。</w:t>
      </w:r>
    </w:p>
    <w:p>
      <w:pPr>
        <w:ind w:firstLine="482"/>
        <w:rPr>
          <w:b/>
          <w:bCs/>
        </w:rPr>
      </w:pPr>
      <w:r>
        <w:rPr>
          <w:rFonts w:hint="eastAsia"/>
          <w:b/>
          <w:bCs/>
        </w:rPr>
        <w:t>（二）服务地点</w:t>
      </w:r>
    </w:p>
    <w:p>
      <w:pPr>
        <w:ind w:firstLine="480"/>
      </w:pPr>
      <w:r>
        <w:rPr>
          <w:rFonts w:hint="eastAsia"/>
        </w:rPr>
        <w:t>重庆工程职业技术学院内。</w:t>
      </w:r>
    </w:p>
    <w:p>
      <w:pPr>
        <w:ind w:firstLine="482"/>
        <w:rPr>
          <w:b/>
          <w:bCs/>
        </w:rPr>
      </w:pPr>
      <w:r>
        <w:rPr>
          <w:rFonts w:hint="eastAsia"/>
          <w:b/>
          <w:bCs/>
        </w:rPr>
        <w:t>（三）考核方式</w:t>
      </w:r>
    </w:p>
    <w:p>
      <w:pPr>
        <w:ind w:firstLine="480"/>
      </w:pPr>
      <w:r>
        <w:rPr>
          <w:rFonts w:hint="eastAsia"/>
        </w:rPr>
        <w:t xml:space="preserve">按《重庆工程职业技术学院校园共享电动自行车运行服务年度考核细则》（详见附件）进行年度考核。 </w:t>
      </w:r>
    </w:p>
    <w:p>
      <w:pPr>
        <w:ind w:firstLine="480"/>
      </w:pPr>
      <w:bookmarkStart w:id="94" w:name="_Toc267320051"/>
      <w:bookmarkStart w:id="95" w:name="_Toc17686"/>
      <w:r>
        <w:rPr>
          <w:rFonts w:hint="eastAsia"/>
          <w:lang w:val="en-US" w:eastAsia="zh-CN"/>
        </w:rPr>
        <w:t>二、</w:t>
      </w:r>
      <w:r>
        <w:rPr>
          <w:rFonts w:hint="eastAsia"/>
        </w:rPr>
        <w:t>报价要求</w:t>
      </w:r>
    </w:p>
    <w:p>
      <w:pPr>
        <w:ind w:firstLine="480"/>
      </w:pPr>
      <w:r>
        <w:rPr>
          <w:rFonts w:hint="eastAsia"/>
        </w:rPr>
        <w:t>成交供应商报价包含但不仅限于：车辆或设备及人员所有运行费用（含车辆或设备购置费用、保险、运行管理人员劳务薪酬、车辆或设备检修维修、车辆设备保养、电费等）。在项目实施过程中出现任何遗漏，均由成交供应商负责。采购人不承担任何费用。</w:t>
      </w:r>
    </w:p>
    <w:p>
      <w:pPr>
        <w:ind w:firstLine="482"/>
        <w:rPr>
          <w:b/>
          <w:bCs/>
        </w:rPr>
      </w:pPr>
      <w:r>
        <w:rPr>
          <w:rFonts w:hint="eastAsia"/>
          <w:b/>
          <w:bCs/>
        </w:rPr>
        <w:t>三、相关费用缴款方式</w:t>
      </w:r>
      <w:bookmarkEnd w:id="94"/>
      <w:bookmarkEnd w:id="95"/>
    </w:p>
    <w:p>
      <w:pPr>
        <w:ind w:firstLine="482"/>
        <w:rPr>
          <w:b/>
          <w:bCs/>
        </w:rPr>
      </w:pPr>
      <w:r>
        <w:rPr>
          <w:rFonts w:hint="eastAsia"/>
          <w:b/>
          <w:bCs/>
        </w:rPr>
        <w:t>(一)履约保证金</w:t>
      </w:r>
    </w:p>
    <w:p>
      <w:pPr>
        <w:ind w:firstLine="480"/>
      </w:pPr>
      <w:r>
        <w:rPr>
          <w:rFonts w:hint="eastAsia"/>
        </w:rPr>
        <w:t>1.成交供应商须在签订合同前向采购人交纳履约保证金10万元（人民币大写：壹拾万元整），确保项目按期、按质进行。成交供应商若发生部分违约现象，采购人从履约保证金中扣除相应金额的违约金；若发现严重违约现象，采购人有权没收其全额履约保证金。扣除的履约保证金，成交供应商应在15个工作日内补足。详见“第二篇  项目服务要求”中‘五、服务要求’及‘七、满意度调查’中的相应违约违规扣款内容。</w:t>
      </w:r>
    </w:p>
    <w:p>
      <w:pPr>
        <w:pStyle w:val="7"/>
        <w:ind w:firstLine="0" w:firstLineChars="0"/>
        <w:rPr>
          <w:rFonts w:hint="eastAsia" w:eastAsia="宋体"/>
          <w:highlight w:val="none"/>
          <w:lang w:eastAsia="zh-CN"/>
        </w:rPr>
      </w:pPr>
      <w:r>
        <w:rPr>
          <w:rFonts w:hint="eastAsia"/>
        </w:rPr>
        <w:t>2.履约保证金缴纳方式：以转账、电汇等方式交到重庆工程职业技术学院指定的银行基本账户，不得以现金或其他方式划入任何个人账户，否则由此产生的所有损失由成交供应商自行承担。成交供应商务必在汇款凭证上注明招标项目名称及采购计划编号</w:t>
      </w:r>
      <w:r>
        <w:rPr>
          <w:rFonts w:hint="eastAsia" w:eastAsia="宋体"/>
          <w:highlight w:val="none"/>
          <w:lang w:eastAsia="zh-CN"/>
        </w:rPr>
        <w:t>“</w:t>
      </w:r>
      <w:r>
        <w:rPr>
          <w:rFonts w:hint="eastAsia"/>
          <w:b w:val="0"/>
          <w:bCs w:val="0"/>
          <w:sz w:val="24"/>
          <w:szCs w:val="28"/>
          <w:highlight w:val="none"/>
        </w:rPr>
        <w:t>重庆工程职业技术学院</w:t>
      </w:r>
      <w:r>
        <w:rPr>
          <w:rFonts w:hint="eastAsia" w:ascii="宋体" w:hAnsi="宋体" w:eastAsia="PMingLiU" w:cs="宋体"/>
          <w:b w:val="0"/>
          <w:bCs w:val="0"/>
          <w:i w:val="0"/>
          <w:iCs w:val="0"/>
          <w:caps w:val="0"/>
          <w:spacing w:val="0"/>
          <w:sz w:val="24"/>
          <w:szCs w:val="28"/>
          <w:highlight w:val="none"/>
          <w:shd w:val="clear"/>
        </w:rPr>
        <w:t>引进1家共享电动自行车运营商</w:t>
      </w:r>
      <w:r>
        <w:rPr>
          <w:rFonts w:hint="eastAsia" w:eastAsia="宋体" w:cs="宋体"/>
          <w:b w:val="0"/>
          <w:bCs w:val="0"/>
          <w:i w:val="0"/>
          <w:iCs w:val="0"/>
          <w:caps w:val="0"/>
          <w:spacing w:val="0"/>
          <w:sz w:val="24"/>
          <w:szCs w:val="28"/>
          <w:highlight w:val="none"/>
          <w:shd w:val="clear"/>
          <w:lang w:val="en-US" w:eastAsia="zh-CN"/>
        </w:rPr>
        <w:t>+</w:t>
      </w:r>
      <w:r>
        <w:rPr>
          <w:rFonts w:hint="eastAsia"/>
          <w:b w:val="0"/>
          <w:bCs w:val="0"/>
          <w:sz w:val="24"/>
          <w:szCs w:val="28"/>
          <w:highlight w:val="none"/>
        </w:rPr>
        <w:t>GZY23C00318</w:t>
      </w:r>
      <w:r>
        <w:rPr>
          <w:rFonts w:hint="eastAsia" w:eastAsia="宋体"/>
          <w:highlight w:val="none"/>
          <w:lang w:eastAsia="zh-CN"/>
        </w:rPr>
        <w:t>”。</w:t>
      </w:r>
    </w:p>
    <w:p>
      <w:pPr>
        <w:ind w:firstLine="480"/>
      </w:pPr>
      <w:r>
        <w:rPr>
          <w:rFonts w:hint="eastAsia"/>
        </w:rPr>
        <w:t>3.履约保证金指定收取账户</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户  名：重庆工程职业技术学院</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开户行：建行重庆沙坪坝上桥支行</w:t>
      </w:r>
    </w:p>
    <w:p>
      <w:pPr>
        <w:pStyle w:val="32"/>
        <w:snapToGrid w:val="0"/>
        <w:spacing w:line="400" w:lineRule="exact"/>
        <w:ind w:firstLine="480" w:firstLineChars="200"/>
        <w:textAlignment w:val="baseline"/>
        <w:rPr>
          <w:rFonts w:ascii="宋体" w:hAnsi="宋体" w:cs="宋体"/>
          <w:color w:val="000000"/>
          <w:sz w:val="24"/>
          <w:szCs w:val="24"/>
        </w:rPr>
      </w:pPr>
      <w:r>
        <w:rPr>
          <w:rFonts w:hint="eastAsia" w:ascii="宋体" w:hAnsi="宋体" w:cs="宋体"/>
          <w:color w:val="000000"/>
          <w:sz w:val="24"/>
          <w:szCs w:val="24"/>
        </w:rPr>
        <w:t>账  号：50001053700050001096</w:t>
      </w:r>
    </w:p>
    <w:p>
      <w:pPr>
        <w:ind w:firstLine="480"/>
      </w:pPr>
      <w:r>
        <w:rPr>
          <w:rFonts w:hint="eastAsia"/>
        </w:rPr>
        <w:t>4.履约保证金退还方式</w:t>
      </w:r>
    </w:p>
    <w:p>
      <w:pPr>
        <w:ind w:firstLine="480"/>
      </w:pPr>
      <w:r>
        <w:rPr>
          <w:rFonts w:hint="eastAsia"/>
        </w:rPr>
        <w:t xml:space="preserve">合同服务期满，经采购人考核合格后且无遗留问题的前提下全额退还履约保证金（不计利息）。 </w:t>
      </w:r>
    </w:p>
    <w:p>
      <w:pPr>
        <w:ind w:firstLine="480"/>
      </w:pPr>
      <w:r>
        <w:rPr>
          <w:rFonts w:hint="eastAsia"/>
        </w:rPr>
        <w:t>5.发生以下情况之一者，履约保证金全部或部分不予退还：</w:t>
      </w:r>
    </w:p>
    <w:p>
      <w:pPr>
        <w:ind w:firstLine="480"/>
      </w:pPr>
      <w:r>
        <w:rPr>
          <w:rFonts w:hint="eastAsia"/>
        </w:rPr>
        <w:t>5.1非不可抗力情况下，因成交供应商自身原因终止履行合同的，履约保证金全额不予退还；</w:t>
      </w:r>
    </w:p>
    <w:p>
      <w:pPr>
        <w:ind w:firstLine="480"/>
      </w:pPr>
      <w:r>
        <w:rPr>
          <w:rFonts w:hint="eastAsia"/>
        </w:rPr>
        <w:t>5.2非不可抗力情况下，因成交供应商自身原因，所提供的产品或服务未达到合同及采购文件相关要求的，履约保证金全部或部分不予退还，具体详见本招标文件第二篇相关内容。</w:t>
      </w:r>
    </w:p>
    <w:p>
      <w:pPr>
        <w:ind w:firstLine="482"/>
        <w:rPr>
          <w:b/>
          <w:bCs/>
        </w:rPr>
      </w:pPr>
      <w:r>
        <w:rPr>
          <w:rFonts w:hint="eastAsia"/>
          <w:b/>
          <w:bCs/>
        </w:rPr>
        <w:t>（二）水电等费用</w:t>
      </w:r>
    </w:p>
    <w:p>
      <w:pPr>
        <w:ind w:firstLine="480"/>
      </w:pPr>
      <w:r>
        <w:rPr>
          <w:rFonts w:hint="eastAsia"/>
        </w:rPr>
        <w:t>按学校后勤管理部门每月抄表数据按实结算。</w:t>
      </w:r>
    </w:p>
    <w:p>
      <w:pPr>
        <w:ind w:firstLine="482"/>
        <w:rPr>
          <w:b/>
          <w:bCs/>
        </w:rPr>
      </w:pPr>
      <w:bookmarkStart w:id="96" w:name="_Toc4187"/>
      <w:r>
        <w:rPr>
          <w:rFonts w:hint="eastAsia"/>
          <w:b/>
          <w:bCs/>
        </w:rPr>
        <w:t>四、</w:t>
      </w:r>
      <w:bookmarkEnd w:id="96"/>
      <w:bookmarkStart w:id="97" w:name="_Toc1388"/>
      <w:r>
        <w:rPr>
          <w:rFonts w:hint="eastAsia"/>
          <w:b/>
          <w:bCs/>
        </w:rPr>
        <w:t>其他商务要求内容</w:t>
      </w:r>
      <w:bookmarkEnd w:id="97"/>
    </w:p>
    <w:p>
      <w:pPr>
        <w:ind w:firstLine="480"/>
      </w:pPr>
      <w:r>
        <w:rPr>
          <w:rFonts w:hint="eastAsia"/>
        </w:rPr>
        <w:t>（一）竞标人必须在招标文件中对以上条款和服务承诺明确列出，承诺内容必须达到本篇及招标文件其他条款的要求。</w:t>
      </w:r>
    </w:p>
    <w:p>
      <w:pPr>
        <w:ind w:firstLine="480"/>
      </w:pPr>
      <w:r>
        <w:rPr>
          <w:rFonts w:hint="eastAsia"/>
        </w:rPr>
        <w:t>（二）其他未尽事宜由供需双方在采购合同中详细约定。</w:t>
      </w:r>
    </w:p>
    <w:p>
      <w:pPr>
        <w:ind w:firstLine="480"/>
      </w:pPr>
      <w:r>
        <w:br w:type="page"/>
      </w:r>
    </w:p>
    <w:p>
      <w:pPr>
        <w:pStyle w:val="3"/>
      </w:pPr>
      <w:bookmarkStart w:id="98" w:name="_Toc2258"/>
      <w:bookmarkStart w:id="99" w:name="_Toc123227045"/>
      <w:bookmarkStart w:id="100" w:name="_Toc12384"/>
      <w:bookmarkStart w:id="101" w:name="_Toc10079"/>
      <w:bookmarkStart w:id="102" w:name="_Toc27737"/>
      <w:bookmarkStart w:id="103" w:name="_Toc76373885"/>
      <w:bookmarkStart w:id="104" w:name="_Toc3976"/>
      <w:bookmarkStart w:id="105" w:name="_Toc21445"/>
      <w:bookmarkStart w:id="106" w:name="_Toc20772"/>
      <w:r>
        <w:rPr>
          <w:rFonts w:hint="eastAsia"/>
        </w:rPr>
        <w:t>第四篇  资格审查及评标办法</w:t>
      </w:r>
      <w:bookmarkEnd w:id="98"/>
      <w:bookmarkEnd w:id="99"/>
      <w:bookmarkEnd w:id="100"/>
      <w:bookmarkEnd w:id="101"/>
      <w:bookmarkEnd w:id="102"/>
      <w:bookmarkEnd w:id="103"/>
      <w:bookmarkEnd w:id="104"/>
      <w:bookmarkEnd w:id="105"/>
      <w:bookmarkEnd w:id="106"/>
    </w:p>
    <w:p>
      <w:pPr>
        <w:pStyle w:val="4"/>
      </w:pPr>
      <w:bookmarkStart w:id="107" w:name="_Toc7346"/>
      <w:bookmarkStart w:id="108" w:name="_Toc11052"/>
      <w:bookmarkStart w:id="109" w:name="_Toc23699"/>
      <w:bookmarkStart w:id="110" w:name="_Toc7115"/>
      <w:bookmarkStart w:id="111" w:name="_Toc22427"/>
      <w:bookmarkStart w:id="112" w:name="_Toc27095"/>
      <w:bookmarkStart w:id="113" w:name="_Toc76373886"/>
      <w:bookmarkStart w:id="114" w:name="_Toc123227046"/>
      <w:bookmarkStart w:id="115" w:name="_Toc12712"/>
      <w:r>
        <w:rPr>
          <w:rFonts w:hint="eastAsia"/>
        </w:rPr>
        <w:t>一、资格审查及符合性审查</w:t>
      </w:r>
      <w:bookmarkEnd w:id="107"/>
      <w:bookmarkEnd w:id="108"/>
      <w:bookmarkEnd w:id="109"/>
      <w:bookmarkEnd w:id="110"/>
      <w:bookmarkEnd w:id="111"/>
      <w:bookmarkEnd w:id="112"/>
      <w:bookmarkEnd w:id="113"/>
      <w:bookmarkEnd w:id="114"/>
      <w:bookmarkEnd w:id="115"/>
    </w:p>
    <w:p>
      <w:pPr>
        <w:ind w:firstLine="480"/>
      </w:pPr>
      <w:r>
        <w:rPr>
          <w:rFonts w:hint="eastAsia"/>
        </w:rPr>
        <w:t>若未通过资格审查及符合性审查的投标文件，不进入评审环节。</w:t>
      </w:r>
    </w:p>
    <w:p>
      <w:pPr>
        <w:ind w:firstLine="480"/>
      </w:pPr>
      <w:r>
        <w:rPr>
          <w:rFonts w:hint="eastAsia"/>
        </w:rPr>
        <w:t>（一）资格审查</w:t>
      </w:r>
    </w:p>
    <w:p>
      <w:pPr>
        <w:ind w:firstLine="480"/>
      </w:pPr>
      <w:r>
        <w:rPr>
          <w:rFonts w:hint="eastAsia"/>
        </w:rPr>
        <w:t>依据政府采购相关法律法规规定，由采购人对投标文件中的资格证明文件进行审查。资格审查资料表如下：</w:t>
      </w:r>
    </w:p>
    <w:tbl>
      <w:tblPr>
        <w:tblStyle w:val="20"/>
        <w:tblW w:w="8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830"/>
        <w:gridCol w:w="3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pStyle w:val="25"/>
              <w:rPr>
                <w:b/>
                <w:bCs/>
              </w:rPr>
            </w:pPr>
            <w:r>
              <w:rPr>
                <w:rFonts w:hint="eastAsia"/>
                <w:b/>
                <w:bCs/>
              </w:rPr>
              <w:t>序号</w:t>
            </w:r>
          </w:p>
        </w:tc>
        <w:tc>
          <w:tcPr>
            <w:tcW w:w="4539" w:type="dxa"/>
            <w:gridSpan w:val="2"/>
            <w:tcBorders>
              <w:top w:val="single" w:color="auto" w:sz="4" w:space="0"/>
              <w:left w:val="single" w:color="auto" w:sz="4" w:space="0"/>
              <w:bottom w:val="single" w:color="auto" w:sz="4" w:space="0"/>
              <w:right w:val="single" w:color="auto" w:sz="4" w:space="0"/>
            </w:tcBorders>
            <w:vAlign w:val="center"/>
          </w:tcPr>
          <w:p>
            <w:pPr>
              <w:pStyle w:val="25"/>
              <w:rPr>
                <w:b/>
                <w:bCs/>
              </w:rPr>
            </w:pPr>
            <w:r>
              <w:rPr>
                <w:rFonts w:hint="eastAsia"/>
                <w:b/>
                <w:bCs/>
              </w:rPr>
              <w:t>检查因素</w:t>
            </w:r>
          </w:p>
        </w:tc>
        <w:tc>
          <w:tcPr>
            <w:tcW w:w="3139" w:type="dxa"/>
            <w:tcBorders>
              <w:top w:val="single" w:color="auto" w:sz="4" w:space="0"/>
              <w:left w:val="single" w:color="auto" w:sz="4" w:space="0"/>
              <w:bottom w:val="single" w:color="auto" w:sz="4" w:space="0"/>
              <w:right w:val="single" w:color="auto" w:sz="4" w:space="0"/>
            </w:tcBorders>
            <w:vAlign w:val="center"/>
          </w:tcPr>
          <w:p>
            <w:pPr>
              <w:pStyle w:val="25"/>
              <w:rPr>
                <w:b/>
                <w:bCs/>
              </w:rPr>
            </w:pPr>
            <w:r>
              <w:rPr>
                <w:rFonts w:hint="eastAsia"/>
                <w:b/>
                <w:bCs/>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pPr>
              <w:pStyle w:val="25"/>
            </w:pPr>
            <w:r>
              <w:rPr>
                <w:rFonts w:hint="eastAsia"/>
              </w:rPr>
              <w:t>（一）</w:t>
            </w:r>
          </w:p>
        </w:tc>
        <w:tc>
          <w:tcPr>
            <w:tcW w:w="709" w:type="dxa"/>
            <w:vMerge w:val="restart"/>
            <w:vAlign w:val="center"/>
          </w:tcPr>
          <w:p>
            <w:pPr>
              <w:pStyle w:val="25"/>
              <w:rPr>
                <w:lang w:val="zh-CN"/>
              </w:rPr>
            </w:pPr>
            <w:r>
              <w:rPr>
                <w:rFonts w:hint="eastAsia"/>
                <w:lang w:val="zh-CN"/>
              </w:rPr>
              <w:t>《中华人民共和国政府采购法》第二十二条规定</w:t>
            </w:r>
          </w:p>
        </w:tc>
        <w:tc>
          <w:tcPr>
            <w:tcW w:w="3830" w:type="dxa"/>
            <w:vAlign w:val="center"/>
          </w:tcPr>
          <w:p>
            <w:pPr>
              <w:pStyle w:val="25"/>
            </w:pPr>
            <w:r>
              <w:rPr>
                <w:rFonts w:hint="eastAsia"/>
              </w:rPr>
              <w:t>1.具有独立承担民事责任的能力</w:t>
            </w:r>
          </w:p>
        </w:tc>
        <w:tc>
          <w:tcPr>
            <w:tcW w:w="3139" w:type="dxa"/>
            <w:vAlign w:val="center"/>
          </w:tcPr>
          <w:p>
            <w:pPr>
              <w:pStyle w:val="25"/>
              <w:jc w:val="left"/>
            </w:pPr>
            <w:r>
              <w:rPr>
                <w:rFonts w:hint="eastAsia"/>
              </w:rPr>
              <w:t>1.投标人法人营业执照（副本）或事业单位法人证书（副本）或个体工商户营业执照或有效的自然人身份证明或社会团体法人登记证书（提供复印件</w:t>
            </w:r>
            <w:r>
              <w:rPr>
                <w:rFonts w:hint="eastAsia"/>
                <w:highlight w:val="none"/>
                <w:lang w:val="en-US" w:eastAsia="zh-CN"/>
              </w:rPr>
              <w:t>并加盖鲜章</w:t>
            </w:r>
            <w:r>
              <w:rPr>
                <w:rFonts w:hint="eastAsia"/>
                <w:highlight w:val="none"/>
              </w:rPr>
              <w:t>）</w:t>
            </w:r>
            <w:r>
              <w:rPr>
                <w:rFonts w:hint="eastAsia"/>
              </w:rPr>
              <w:t xml:space="preserve">。 </w:t>
            </w:r>
          </w:p>
          <w:p>
            <w:pPr>
              <w:pStyle w:val="25"/>
              <w:jc w:val="left"/>
            </w:pPr>
            <w:r>
              <w:rPr>
                <w:rFonts w:hint="eastAsia"/>
              </w:rPr>
              <w:t>2.投标人法定代表人身份证明和法定代表人授权代表委托书。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pPr>
            <w:r>
              <w:rPr>
                <w:rFonts w:hint="eastAsia"/>
                <w:lang w:val="zh-CN"/>
              </w:rPr>
              <w:t>2.</w:t>
            </w:r>
            <w:r>
              <w:rPr>
                <w:rFonts w:hint="eastAsia"/>
              </w:rPr>
              <w:t>具有良好的商业信誉和健全的财务会计制度</w:t>
            </w:r>
          </w:p>
        </w:tc>
        <w:tc>
          <w:tcPr>
            <w:tcW w:w="3139" w:type="dxa"/>
            <w:vMerge w:val="restart"/>
            <w:vAlign w:val="center"/>
          </w:tcPr>
          <w:p>
            <w:pPr>
              <w:pStyle w:val="25"/>
              <w:jc w:val="left"/>
            </w:pPr>
            <w:r>
              <w:rPr>
                <w:rFonts w:hint="eastAsia"/>
              </w:rPr>
              <w:t>投标人提供“基本资格条件承诺函”（格式详见第七篇）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rPr>
                <w:lang w:val="zh-CN"/>
              </w:rPr>
            </w:pPr>
            <w:r>
              <w:rPr>
                <w:rFonts w:hint="eastAsia"/>
                <w:lang w:val="zh-CN"/>
              </w:rPr>
              <w:t>3.具有履行合同所必需的设备和专业技术能力</w:t>
            </w:r>
          </w:p>
        </w:tc>
        <w:tc>
          <w:tcPr>
            <w:tcW w:w="3139" w:type="dxa"/>
            <w:vMerge w:val="continue"/>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rPr>
                <w:lang w:val="zh-CN"/>
              </w:rPr>
            </w:pPr>
            <w:r>
              <w:rPr>
                <w:rFonts w:hint="eastAsia"/>
                <w:lang w:val="zh-CN"/>
              </w:rPr>
              <w:t>4.有依法缴纳税收和社会保障金的良好记录</w:t>
            </w:r>
          </w:p>
        </w:tc>
        <w:tc>
          <w:tcPr>
            <w:tcW w:w="3139" w:type="dxa"/>
            <w:vMerge w:val="continue"/>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pPr>
              <w:pStyle w:val="25"/>
            </w:pPr>
          </w:p>
        </w:tc>
        <w:tc>
          <w:tcPr>
            <w:tcW w:w="709" w:type="dxa"/>
            <w:vMerge w:val="continue"/>
            <w:vAlign w:val="center"/>
          </w:tcPr>
          <w:p>
            <w:pPr>
              <w:pStyle w:val="25"/>
              <w:rPr>
                <w:lang w:val="zh-CN"/>
              </w:rPr>
            </w:pPr>
          </w:p>
        </w:tc>
        <w:tc>
          <w:tcPr>
            <w:tcW w:w="3830" w:type="dxa"/>
            <w:vAlign w:val="center"/>
          </w:tcPr>
          <w:p>
            <w:pPr>
              <w:pStyle w:val="25"/>
              <w:rPr>
                <w:lang w:val="zh-CN"/>
              </w:rPr>
            </w:pPr>
            <w:r>
              <w:rPr>
                <w:rFonts w:hint="eastAsia"/>
              </w:rPr>
              <w:t>5.参加政府采购活动前三年内，在经营活动中没有重大违法记录</w:t>
            </w:r>
          </w:p>
        </w:tc>
        <w:tc>
          <w:tcPr>
            <w:tcW w:w="3139" w:type="dxa"/>
            <w:vMerge w:val="continue"/>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pStyle w:val="25"/>
            </w:pPr>
          </w:p>
        </w:tc>
        <w:tc>
          <w:tcPr>
            <w:tcW w:w="709" w:type="dxa"/>
            <w:vMerge w:val="continue"/>
            <w:vAlign w:val="center"/>
          </w:tcPr>
          <w:p>
            <w:pPr>
              <w:pStyle w:val="25"/>
            </w:pPr>
          </w:p>
        </w:tc>
        <w:tc>
          <w:tcPr>
            <w:tcW w:w="3830" w:type="dxa"/>
            <w:vAlign w:val="center"/>
          </w:tcPr>
          <w:p>
            <w:pPr>
              <w:pStyle w:val="25"/>
            </w:pPr>
            <w:r>
              <w:rPr>
                <w:rFonts w:hint="eastAsia"/>
              </w:rPr>
              <w:t>6.法律、行政法规规定的其他条件</w:t>
            </w:r>
          </w:p>
        </w:tc>
        <w:tc>
          <w:tcPr>
            <w:tcW w:w="3139" w:type="dxa"/>
            <w:vAlign w:val="center"/>
          </w:tcPr>
          <w:p>
            <w:pPr>
              <w:pStyle w:val="25"/>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pPr>
              <w:pStyle w:val="25"/>
            </w:pPr>
          </w:p>
        </w:tc>
        <w:tc>
          <w:tcPr>
            <w:tcW w:w="709" w:type="dxa"/>
            <w:vMerge w:val="continue"/>
            <w:vAlign w:val="center"/>
          </w:tcPr>
          <w:p>
            <w:pPr>
              <w:pStyle w:val="25"/>
            </w:pPr>
          </w:p>
        </w:tc>
        <w:tc>
          <w:tcPr>
            <w:tcW w:w="3830" w:type="dxa"/>
            <w:vAlign w:val="center"/>
          </w:tcPr>
          <w:p>
            <w:pPr>
              <w:pStyle w:val="25"/>
            </w:pPr>
            <w:r>
              <w:rPr>
                <w:rFonts w:hint="eastAsia"/>
              </w:rPr>
              <w:t>7.本项目的特定资格要求</w:t>
            </w:r>
          </w:p>
        </w:tc>
        <w:tc>
          <w:tcPr>
            <w:tcW w:w="3139" w:type="dxa"/>
            <w:vAlign w:val="center"/>
          </w:tcPr>
          <w:p>
            <w:pPr>
              <w:pStyle w:val="25"/>
              <w:jc w:val="lef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pStyle w:val="25"/>
            </w:pPr>
            <w:r>
              <w:rPr>
                <w:rFonts w:hint="eastAsia"/>
              </w:rPr>
              <w:t>（二）</w:t>
            </w:r>
          </w:p>
        </w:tc>
        <w:tc>
          <w:tcPr>
            <w:tcW w:w="4539" w:type="dxa"/>
            <w:gridSpan w:val="2"/>
            <w:vAlign w:val="center"/>
          </w:tcPr>
          <w:p>
            <w:pPr>
              <w:pStyle w:val="25"/>
            </w:pPr>
            <w:r>
              <w:rPr>
                <w:rFonts w:hint="eastAsia"/>
              </w:rPr>
              <w:t>落实政府采购政策需满足的资格要求</w:t>
            </w:r>
          </w:p>
        </w:tc>
        <w:tc>
          <w:tcPr>
            <w:tcW w:w="3139" w:type="dxa"/>
            <w:vAlign w:val="center"/>
          </w:tcPr>
          <w:p>
            <w:pPr>
              <w:pStyle w:val="25"/>
              <w:jc w:val="left"/>
            </w:pPr>
            <w:r>
              <w:rPr>
                <w:rFonts w:hint="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17" w:type="dxa"/>
            <w:vAlign w:val="center"/>
          </w:tcPr>
          <w:p>
            <w:pPr>
              <w:pStyle w:val="25"/>
            </w:pPr>
            <w:r>
              <w:rPr>
                <w:rFonts w:hint="eastAsia"/>
              </w:rPr>
              <w:t>（三）</w:t>
            </w:r>
          </w:p>
        </w:tc>
        <w:tc>
          <w:tcPr>
            <w:tcW w:w="4539" w:type="dxa"/>
            <w:gridSpan w:val="2"/>
            <w:vAlign w:val="center"/>
          </w:tcPr>
          <w:p>
            <w:pPr>
              <w:pStyle w:val="25"/>
            </w:pPr>
            <w:r>
              <w:rPr>
                <w:rFonts w:hint="eastAsia"/>
              </w:rPr>
              <w:t>投标保证金</w:t>
            </w:r>
          </w:p>
        </w:tc>
        <w:tc>
          <w:tcPr>
            <w:tcW w:w="3139" w:type="dxa"/>
            <w:vAlign w:val="center"/>
          </w:tcPr>
          <w:p>
            <w:pPr>
              <w:pStyle w:val="25"/>
              <w:jc w:val="left"/>
            </w:pPr>
            <w:r>
              <w:rPr>
                <w:rFonts w:hint="eastAsia"/>
              </w:rPr>
              <w:t>按照招标文件要求足额交纳所投包的投标保证金。</w:t>
            </w:r>
          </w:p>
        </w:tc>
      </w:tr>
    </w:tbl>
    <w:p>
      <w:pPr>
        <w:ind w:firstLine="480"/>
      </w:pPr>
      <w:r>
        <w:rPr>
          <w:rFonts w:hint="eastAsia"/>
        </w:rPr>
        <w:t>注：</w:t>
      </w:r>
    </w:p>
    <w:p>
      <w:pPr>
        <w:ind w:firstLine="480"/>
      </w:pPr>
      <w:r>
        <w:rPr>
          <w:rFonts w:hint="eastAsia"/>
        </w:rPr>
        <w:t>根据《中华人民共和国政府采购法实施条例》第十九条“参加政府采购活动前三年内，在经营活动中没有重大违法记录”中“重大违法记录”，是指投标人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投标人可于投标截止日期前通过 “信用中国”网站(www.creditchina.gov.cn)、"中国政府采购网"(www.ccgp.gov.cn)等渠道查询信用记录。</w:t>
      </w:r>
    </w:p>
    <w:p>
      <w:pPr>
        <w:ind w:firstLine="480"/>
      </w:pPr>
      <w:r>
        <w:rPr>
          <w:rFonts w:hint="eastAsia"/>
        </w:rPr>
        <w:t>（二）符合性审查</w:t>
      </w:r>
    </w:p>
    <w:p>
      <w:pPr>
        <w:ind w:firstLine="480"/>
      </w:pPr>
      <w:r>
        <w:rPr>
          <w:rFonts w:hint="eastAsia"/>
        </w:rPr>
        <w:t>评标委员会应当对符合资格的投标人的投标文件进行符合性审查，以确定其是否满足招标文件的实质性要求。符合性审查资料表如下：</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471"/>
        <w:gridCol w:w="1486"/>
        <w:gridCol w:w="4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348" w:type="pct"/>
            <w:vAlign w:val="center"/>
          </w:tcPr>
          <w:p>
            <w:pPr>
              <w:pStyle w:val="25"/>
              <w:rPr>
                <w:b/>
                <w:bCs/>
              </w:rPr>
            </w:pPr>
            <w:r>
              <w:rPr>
                <w:rFonts w:hint="eastAsia"/>
                <w:b/>
                <w:bCs/>
              </w:rPr>
              <w:t>序号</w:t>
            </w:r>
          </w:p>
        </w:tc>
        <w:tc>
          <w:tcPr>
            <w:tcW w:w="1735" w:type="pct"/>
            <w:gridSpan w:val="2"/>
            <w:vAlign w:val="center"/>
          </w:tcPr>
          <w:p>
            <w:pPr>
              <w:pStyle w:val="25"/>
              <w:rPr>
                <w:b/>
                <w:bCs/>
              </w:rPr>
            </w:pPr>
            <w:r>
              <w:rPr>
                <w:rFonts w:hint="eastAsia"/>
                <w:b/>
                <w:bCs/>
              </w:rPr>
              <w:t>评审因素</w:t>
            </w:r>
          </w:p>
        </w:tc>
        <w:tc>
          <w:tcPr>
            <w:tcW w:w="2916" w:type="pct"/>
            <w:vAlign w:val="center"/>
          </w:tcPr>
          <w:p>
            <w:pPr>
              <w:pStyle w:val="25"/>
              <w:rPr>
                <w:b/>
                <w:bCs/>
              </w:rPr>
            </w:pPr>
            <w:r>
              <w:rPr>
                <w:rFonts w:hint="eastAsia"/>
                <w:b/>
                <w:bCs/>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48" w:type="pct"/>
            <w:vMerge w:val="restart"/>
            <w:vAlign w:val="center"/>
          </w:tcPr>
          <w:p>
            <w:pPr>
              <w:pStyle w:val="25"/>
            </w:pPr>
            <w:r>
              <w:rPr>
                <w:rFonts w:hint="eastAsia"/>
              </w:rPr>
              <w:t>1</w:t>
            </w:r>
          </w:p>
        </w:tc>
        <w:tc>
          <w:tcPr>
            <w:tcW w:w="863" w:type="pct"/>
            <w:vMerge w:val="restart"/>
            <w:vAlign w:val="center"/>
          </w:tcPr>
          <w:p>
            <w:pPr>
              <w:pStyle w:val="25"/>
            </w:pPr>
            <w:r>
              <w:rPr>
                <w:rFonts w:hint="eastAsia"/>
              </w:rPr>
              <w:t>有效性审查</w:t>
            </w:r>
          </w:p>
        </w:tc>
        <w:tc>
          <w:tcPr>
            <w:tcW w:w="872" w:type="pct"/>
            <w:vAlign w:val="center"/>
          </w:tcPr>
          <w:p>
            <w:pPr>
              <w:pStyle w:val="25"/>
            </w:pPr>
            <w:r>
              <w:rPr>
                <w:rFonts w:hint="eastAsia"/>
              </w:rPr>
              <w:t>投标文件签署或盖章</w:t>
            </w:r>
          </w:p>
        </w:tc>
        <w:tc>
          <w:tcPr>
            <w:tcW w:w="2916" w:type="pct"/>
            <w:vAlign w:val="center"/>
          </w:tcPr>
          <w:p>
            <w:pPr>
              <w:pStyle w:val="25"/>
            </w:pPr>
            <w:r>
              <w:rPr>
                <w:rFonts w:hint="eastAsia"/>
              </w:rPr>
              <w:t>投标文件上法定代表人（或其授权代表）或自然人（投标人为自然人）的签署或盖章齐全。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348" w:type="pct"/>
            <w:vMerge w:val="continue"/>
            <w:vAlign w:val="center"/>
          </w:tcPr>
          <w:p>
            <w:pPr>
              <w:pStyle w:val="25"/>
            </w:pPr>
          </w:p>
        </w:tc>
        <w:tc>
          <w:tcPr>
            <w:tcW w:w="863" w:type="pct"/>
            <w:vMerge w:val="continue"/>
            <w:vAlign w:val="center"/>
          </w:tcPr>
          <w:p>
            <w:pPr>
              <w:pStyle w:val="25"/>
            </w:pPr>
          </w:p>
        </w:tc>
        <w:tc>
          <w:tcPr>
            <w:tcW w:w="872" w:type="pct"/>
            <w:vAlign w:val="center"/>
          </w:tcPr>
          <w:p>
            <w:pPr>
              <w:pStyle w:val="25"/>
              <w:rPr>
                <w:lang w:val="zh-CN"/>
              </w:rPr>
            </w:pPr>
            <w:r>
              <w:rPr>
                <w:rFonts w:hint="eastAsia"/>
                <w:lang w:val="zh-CN"/>
              </w:rPr>
              <w:t>投标方案</w:t>
            </w:r>
          </w:p>
        </w:tc>
        <w:tc>
          <w:tcPr>
            <w:tcW w:w="2916" w:type="pct"/>
            <w:vAlign w:val="center"/>
          </w:tcPr>
          <w:p>
            <w:pPr>
              <w:pStyle w:val="25"/>
            </w:pPr>
            <w:r>
              <w:rPr>
                <w:rFonts w:hint="eastAsia"/>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348" w:type="pct"/>
            <w:vMerge w:val="continue"/>
            <w:vAlign w:val="center"/>
          </w:tcPr>
          <w:p>
            <w:pPr>
              <w:pStyle w:val="25"/>
            </w:pPr>
          </w:p>
        </w:tc>
        <w:tc>
          <w:tcPr>
            <w:tcW w:w="863" w:type="pct"/>
            <w:vMerge w:val="continue"/>
            <w:vAlign w:val="center"/>
          </w:tcPr>
          <w:p>
            <w:pPr>
              <w:pStyle w:val="25"/>
            </w:pPr>
          </w:p>
        </w:tc>
        <w:tc>
          <w:tcPr>
            <w:tcW w:w="872" w:type="pct"/>
            <w:vAlign w:val="center"/>
          </w:tcPr>
          <w:p>
            <w:pPr>
              <w:pStyle w:val="25"/>
              <w:rPr>
                <w:lang w:val="zh-CN"/>
              </w:rPr>
            </w:pPr>
            <w:r>
              <w:rPr>
                <w:rFonts w:hint="eastAsia"/>
              </w:rPr>
              <w:t>报价唯一</w:t>
            </w:r>
          </w:p>
        </w:tc>
        <w:tc>
          <w:tcPr>
            <w:tcW w:w="2916" w:type="pct"/>
            <w:vAlign w:val="center"/>
          </w:tcPr>
          <w:p>
            <w:pPr>
              <w:pStyle w:val="25"/>
            </w:pPr>
            <w:r>
              <w:rPr>
                <w:rFonts w:hint="eastAsia"/>
                <w:lang w:val="zh-CN"/>
              </w:rPr>
              <w:t>只能在预算金额和最高限价内报价，</w:t>
            </w:r>
            <w:r>
              <w:rPr>
                <w:rFonts w:hint="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348" w:type="pct"/>
            <w:vAlign w:val="center"/>
          </w:tcPr>
          <w:p>
            <w:pPr>
              <w:pStyle w:val="25"/>
            </w:pPr>
            <w:r>
              <w:rPr>
                <w:rFonts w:hint="eastAsia"/>
              </w:rPr>
              <w:t>2</w:t>
            </w:r>
          </w:p>
        </w:tc>
        <w:tc>
          <w:tcPr>
            <w:tcW w:w="863" w:type="pct"/>
            <w:vAlign w:val="center"/>
          </w:tcPr>
          <w:p>
            <w:pPr>
              <w:pStyle w:val="25"/>
            </w:pPr>
            <w:r>
              <w:rPr>
                <w:rFonts w:hint="eastAsia"/>
              </w:rPr>
              <w:t>完整性审查</w:t>
            </w:r>
          </w:p>
        </w:tc>
        <w:tc>
          <w:tcPr>
            <w:tcW w:w="872" w:type="pct"/>
            <w:vAlign w:val="center"/>
          </w:tcPr>
          <w:p>
            <w:pPr>
              <w:pStyle w:val="25"/>
            </w:pPr>
            <w:r>
              <w:rPr>
                <w:rFonts w:hint="eastAsia"/>
                <w:lang w:val="zh-CN"/>
              </w:rPr>
              <w:t>投标文件份数</w:t>
            </w:r>
          </w:p>
        </w:tc>
        <w:tc>
          <w:tcPr>
            <w:tcW w:w="2916" w:type="pct"/>
            <w:vAlign w:val="center"/>
          </w:tcPr>
          <w:p>
            <w:pPr>
              <w:pStyle w:val="25"/>
            </w:pPr>
            <w:r>
              <w:rPr>
                <w:rFonts w:hint="eastAsia"/>
                <w:lang w:val="zh-CN"/>
              </w:rPr>
              <w:t>投标文件正、副本数量（含电子文档）符合招标文件要求。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48" w:type="pct"/>
            <w:vAlign w:val="center"/>
          </w:tcPr>
          <w:p>
            <w:pPr>
              <w:pStyle w:val="25"/>
            </w:pPr>
            <w:r>
              <w:rPr>
                <w:rFonts w:hint="eastAsia"/>
              </w:rPr>
              <w:t>3</w:t>
            </w:r>
          </w:p>
        </w:tc>
        <w:tc>
          <w:tcPr>
            <w:tcW w:w="863" w:type="pct"/>
            <w:vAlign w:val="center"/>
          </w:tcPr>
          <w:p>
            <w:pPr>
              <w:pStyle w:val="25"/>
            </w:pPr>
            <w:r>
              <w:rPr>
                <w:rFonts w:hint="eastAsia"/>
              </w:rPr>
              <w:t>项目服务部分</w:t>
            </w:r>
          </w:p>
        </w:tc>
        <w:tc>
          <w:tcPr>
            <w:tcW w:w="872" w:type="pct"/>
            <w:vAlign w:val="center"/>
          </w:tcPr>
          <w:p>
            <w:pPr>
              <w:pStyle w:val="25"/>
            </w:pPr>
            <w:r>
              <w:rPr>
                <w:rFonts w:hint="eastAsia"/>
              </w:rPr>
              <w:t>投标文件内容</w:t>
            </w:r>
          </w:p>
        </w:tc>
        <w:tc>
          <w:tcPr>
            <w:tcW w:w="2916" w:type="pct"/>
            <w:vAlign w:val="center"/>
          </w:tcPr>
          <w:p>
            <w:pPr>
              <w:pStyle w:val="25"/>
            </w:pPr>
            <w:r>
              <w:rPr>
                <w:rFonts w:hint="eastAsia"/>
              </w:rPr>
              <w:t>本招标文件第二篇中（※）号标注的部分。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48" w:type="pct"/>
            <w:vAlign w:val="center"/>
          </w:tcPr>
          <w:p>
            <w:pPr>
              <w:pStyle w:val="25"/>
            </w:pPr>
            <w:r>
              <w:rPr>
                <w:rFonts w:hint="eastAsia"/>
              </w:rPr>
              <w:t>4</w:t>
            </w:r>
          </w:p>
        </w:tc>
        <w:tc>
          <w:tcPr>
            <w:tcW w:w="863" w:type="pct"/>
            <w:vAlign w:val="center"/>
          </w:tcPr>
          <w:p>
            <w:pPr>
              <w:pStyle w:val="25"/>
            </w:pPr>
            <w:r>
              <w:rPr>
                <w:rFonts w:hint="eastAsia"/>
              </w:rPr>
              <w:t>商务部分</w:t>
            </w:r>
          </w:p>
        </w:tc>
        <w:tc>
          <w:tcPr>
            <w:tcW w:w="872" w:type="pct"/>
            <w:vAlign w:val="center"/>
          </w:tcPr>
          <w:p>
            <w:pPr>
              <w:pStyle w:val="25"/>
            </w:pPr>
            <w:r>
              <w:rPr>
                <w:rFonts w:hint="eastAsia"/>
              </w:rPr>
              <w:t>投标文件内容</w:t>
            </w:r>
          </w:p>
        </w:tc>
        <w:tc>
          <w:tcPr>
            <w:tcW w:w="2916" w:type="pct"/>
            <w:vAlign w:val="center"/>
          </w:tcPr>
          <w:p>
            <w:pPr>
              <w:pStyle w:val="25"/>
            </w:pPr>
            <w:r>
              <w:rPr>
                <w:rFonts w:hint="eastAsia"/>
                <w:lang w:val="en-US" w:eastAsia="zh-CN"/>
              </w:rPr>
              <w:t>参照</w:t>
            </w:r>
            <w:r>
              <w:rPr>
                <w:rFonts w:hint="eastAsia"/>
              </w:rPr>
              <w:t>招标文件第三篇</w:t>
            </w:r>
            <w:r>
              <w:rPr>
                <w:rFonts w:hint="eastAsia"/>
                <w:lang w:val="en-US" w:eastAsia="zh-CN"/>
              </w:rPr>
              <w:t>商务</w:t>
            </w:r>
            <w:r>
              <w:rPr>
                <w:rFonts w:hint="eastAsia"/>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348" w:type="pct"/>
            <w:vAlign w:val="center"/>
          </w:tcPr>
          <w:p>
            <w:pPr>
              <w:pStyle w:val="25"/>
            </w:pPr>
            <w:r>
              <w:rPr>
                <w:rFonts w:hint="eastAsia"/>
              </w:rPr>
              <w:t>5</w:t>
            </w:r>
          </w:p>
        </w:tc>
        <w:tc>
          <w:tcPr>
            <w:tcW w:w="863" w:type="pct"/>
            <w:vAlign w:val="center"/>
          </w:tcPr>
          <w:p>
            <w:pPr>
              <w:pStyle w:val="25"/>
            </w:pPr>
            <w:r>
              <w:rPr>
                <w:rFonts w:hint="eastAsia"/>
              </w:rPr>
              <w:t>投标有效期</w:t>
            </w:r>
          </w:p>
        </w:tc>
        <w:tc>
          <w:tcPr>
            <w:tcW w:w="872" w:type="pct"/>
            <w:vAlign w:val="center"/>
          </w:tcPr>
          <w:p>
            <w:pPr>
              <w:pStyle w:val="25"/>
            </w:pPr>
            <w:r>
              <w:rPr>
                <w:rFonts w:hint="eastAsia"/>
              </w:rPr>
              <w:t>投标文件内容</w:t>
            </w:r>
          </w:p>
        </w:tc>
        <w:tc>
          <w:tcPr>
            <w:tcW w:w="2916" w:type="pct"/>
            <w:vAlign w:val="center"/>
          </w:tcPr>
          <w:p>
            <w:pPr>
              <w:pStyle w:val="25"/>
            </w:pPr>
            <w:r>
              <w:rPr>
                <w:rFonts w:hint="eastAsia"/>
              </w:rPr>
              <w:t>投标有效期为投标截止时间起90天。</w:t>
            </w:r>
          </w:p>
        </w:tc>
      </w:tr>
    </w:tbl>
    <w:p>
      <w:pPr>
        <w:ind w:firstLine="480"/>
      </w:pPr>
      <w:r>
        <w:br w:type="page"/>
      </w:r>
      <w:bookmarkStart w:id="116" w:name="_Toc76373887"/>
      <w:bookmarkStart w:id="117" w:name="_Toc13585"/>
      <w:bookmarkStart w:id="118" w:name="_Toc31293"/>
      <w:bookmarkStart w:id="119" w:name="_Toc26754"/>
      <w:bookmarkStart w:id="120" w:name="_Toc5535"/>
      <w:bookmarkStart w:id="121" w:name="_Toc26481"/>
      <w:bookmarkStart w:id="122" w:name="_Toc123227047"/>
      <w:r>
        <w:rPr>
          <w:rFonts w:hint="eastAsia"/>
        </w:rPr>
        <w:t>二、评标方法</w:t>
      </w:r>
      <w:bookmarkEnd w:id="116"/>
      <w:bookmarkEnd w:id="117"/>
      <w:bookmarkEnd w:id="118"/>
      <w:bookmarkEnd w:id="119"/>
      <w:bookmarkEnd w:id="120"/>
      <w:bookmarkEnd w:id="121"/>
      <w:bookmarkEnd w:id="122"/>
    </w:p>
    <w:p>
      <w:pPr>
        <w:ind w:firstLine="480"/>
      </w:pPr>
      <w:r>
        <w:rPr>
          <w:rFonts w:hint="eastAsia"/>
        </w:rPr>
        <w:t>本项目采用综合评分法进行评标。</w:t>
      </w:r>
    </w:p>
    <w:p>
      <w:pPr>
        <w:ind w:firstLine="480"/>
      </w:pPr>
      <w:r>
        <w:rPr>
          <w:rFonts w:hint="eastAsia"/>
        </w:rPr>
        <w:t>综合评分法，是指投标文件满足招标文件全部实质性要求且按照评审因素的量化指标评审得分最高的投标人为中标候选人的评标方法。投标人总得分为价格、商务、技术（质量）等评定因素分别按照相应权重值计算分项得分后相加，满分为100分，另有5分为政策性加分。</w:t>
      </w:r>
    </w:p>
    <w:p>
      <w:pPr>
        <w:ind w:firstLine="480"/>
      </w:pPr>
      <w:r>
        <w:rPr>
          <w:rFonts w:hint="eastAsia"/>
        </w:rPr>
        <w:t>澄清有关问题。对投标文件中含义不明确、同类问题表述不一致或者有明显文字和计算错误的内容，评标委员会可以书面形式（应当由评标委员会成员签字）要求投标人作出必要澄清、说明或者补正。投标人的澄清、说明或者补正应当采用书面形式，由其法定代表人（或其授权代表）或自然人（投标人为自然人）签字，其澄清的内容不得超出投标文件的范围或者改变投标文件的实质性内容。</w:t>
      </w:r>
    </w:p>
    <w:p>
      <w:pPr>
        <w:ind w:firstLine="480"/>
      </w:pPr>
      <w:r>
        <w:rPr>
          <w:rFonts w:hint="eastAsia"/>
        </w:rPr>
        <w:t>（一）比较与评价。按招标文件中规定的评标方法和标准，对资格审查和符合性审查合格的投标文件进行商务和技术评估。</w:t>
      </w:r>
    </w:p>
    <w:p>
      <w:pPr>
        <w:ind w:firstLine="480"/>
      </w:pPr>
      <w:r>
        <w:rPr>
          <w:rFonts w:hint="eastAsia"/>
        </w:rPr>
        <w:t xml:space="preserve">同一合同项（包）下为单一品目或非单一品目核心产品品牌的货物采购招标中，提供相同品牌产品且通过资格审查、符合性审查的不同投标人参加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 </w:t>
      </w:r>
    </w:p>
    <w:p>
      <w:pPr>
        <w:ind w:firstLine="480"/>
      </w:pPr>
      <w:r>
        <w:rPr>
          <w:rFonts w:hint="eastAsia"/>
        </w:rPr>
        <w:t>评标委员会各成员独立对每个有效投标人（通过资格审查、符合性审查的投标人）的投标文件进行评价、打分，然后由评标委员会对各成员打分情况进行核查及复核，个别成员对同一投标人同一评分项的打分偏离较大的，应对投标人的投标文件进行再次核对，确属打分有误的，应及时进行修正。</w:t>
      </w:r>
    </w:p>
    <w:p>
      <w:pPr>
        <w:ind w:firstLine="480"/>
      </w:pPr>
      <w:r>
        <w:rPr>
          <w:rFonts w:hint="eastAsia"/>
        </w:rPr>
        <w:t>复核后，评标委员会汇总每个投标人每项评分因素的得分。</w:t>
      </w:r>
    </w:p>
    <w:p>
      <w:pPr>
        <w:ind w:firstLine="480"/>
      </w:pPr>
      <w:r>
        <w:rPr>
          <w:rFonts w:hint="eastAsia"/>
        </w:rPr>
        <w:t>（二）推荐中标候选人名单。</w:t>
      </w:r>
    </w:p>
    <w:p>
      <w:pPr>
        <w:ind w:firstLine="480"/>
      </w:pPr>
      <w:r>
        <w:rPr>
          <w:rFonts w:hint="eastAsia"/>
        </w:rPr>
        <w:t>按评审后得分由高到低的排列顺序推荐综合得分排名前三的投标人为本包（项目）中标候选人，排名第一的为第一中标候选人。得分相同的，按投标报价由低到高顺序排列。得分且投标报价相同的并列。技术（质量）部分得分为0分的投标人，将失去成为中标候选人的资格。</w:t>
      </w:r>
    </w:p>
    <w:p>
      <w:pPr>
        <w:pStyle w:val="4"/>
      </w:pPr>
      <w:bookmarkStart w:id="123" w:name="_Toc18448"/>
      <w:bookmarkStart w:id="124" w:name="_Toc27869"/>
      <w:bookmarkStart w:id="125" w:name="_Toc24318"/>
      <w:bookmarkStart w:id="126" w:name="_Toc76373888"/>
      <w:bookmarkStart w:id="127" w:name="_Toc123227048"/>
      <w:bookmarkStart w:id="128" w:name="_Toc3726"/>
      <w:bookmarkStart w:id="129" w:name="_Toc267320057"/>
      <w:bookmarkStart w:id="130" w:name="_Toc32241"/>
      <w:bookmarkStart w:id="131" w:name="_Toc31727"/>
      <w:bookmarkStart w:id="132" w:name="_Toc5749"/>
      <w:r>
        <w:rPr>
          <w:rFonts w:hint="eastAsia"/>
        </w:rPr>
        <w:t>三、评标标准</w:t>
      </w:r>
      <w:bookmarkEnd w:id="123"/>
      <w:bookmarkEnd w:id="124"/>
      <w:bookmarkEnd w:id="125"/>
      <w:bookmarkEnd w:id="126"/>
      <w:bookmarkEnd w:id="127"/>
      <w:bookmarkEnd w:id="128"/>
      <w:bookmarkEnd w:id="129"/>
      <w:bookmarkEnd w:id="130"/>
      <w:bookmarkEnd w:id="131"/>
      <w:bookmarkEnd w:id="132"/>
    </w:p>
    <w:p>
      <w:pPr>
        <w:ind w:firstLine="480"/>
      </w:pPr>
      <w:r>
        <w:rPr>
          <w:rFonts w:hint="eastAsia"/>
        </w:rPr>
        <w:t>（一）评审因素</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
        <w:gridCol w:w="1123"/>
        <w:gridCol w:w="1384"/>
        <w:gridCol w:w="3542"/>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序号</w:t>
            </w:r>
          </w:p>
        </w:tc>
        <w:tc>
          <w:tcPr>
            <w:tcW w:w="659"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none"/>
              </w:rPr>
            </w:pPr>
            <w:r>
              <w:rPr>
                <w:rFonts w:hint="eastAsia"/>
                <w:b/>
                <w:bCs/>
                <w:highlight w:val="none"/>
              </w:rPr>
              <w:t>评分因素</w:t>
            </w:r>
          </w:p>
          <w:p>
            <w:pPr>
              <w:pStyle w:val="25"/>
              <w:rPr>
                <w:b/>
                <w:bCs/>
                <w:highlight w:val="yellow"/>
              </w:rPr>
            </w:pPr>
            <w:r>
              <w:rPr>
                <w:rFonts w:hint="eastAsia"/>
                <w:b/>
                <w:bCs/>
                <w:highlight w:val="none"/>
              </w:rPr>
              <w:t>及权重</w:t>
            </w:r>
          </w:p>
        </w:tc>
        <w:tc>
          <w:tcPr>
            <w:tcW w:w="812"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分值</w:t>
            </w:r>
          </w:p>
        </w:tc>
        <w:tc>
          <w:tcPr>
            <w:tcW w:w="2078"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评分标准</w:t>
            </w:r>
          </w:p>
        </w:tc>
        <w:tc>
          <w:tcPr>
            <w:tcW w:w="1101" w:type="pct"/>
            <w:tcBorders>
              <w:top w:val="single" w:color="auto" w:sz="4" w:space="0"/>
              <w:left w:val="single" w:color="auto" w:sz="4" w:space="0"/>
              <w:bottom w:val="single" w:color="auto" w:sz="4" w:space="0"/>
              <w:right w:val="single" w:color="auto" w:sz="4" w:space="0"/>
            </w:tcBorders>
            <w:shd w:val="clear" w:color="auto" w:fill="D9D9D9"/>
            <w:vAlign w:val="center"/>
          </w:tcPr>
          <w:p>
            <w:pPr>
              <w:pStyle w:val="25"/>
              <w:rPr>
                <w:b/>
                <w:bCs/>
                <w:highlight w:val="yellow"/>
              </w:rPr>
            </w:pPr>
            <w:r>
              <w:rPr>
                <w:rFonts w:hint="eastAsia"/>
                <w:b/>
                <w:bCs/>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yellow"/>
              </w:rPr>
            </w:pPr>
            <w:r>
              <w:rPr>
                <w:rFonts w:hint="eastAsia"/>
                <w:highlight w:val="none"/>
              </w:rPr>
              <w:t>1</w:t>
            </w:r>
          </w:p>
        </w:tc>
        <w:tc>
          <w:tcPr>
            <w:tcW w:w="659"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none"/>
              </w:rPr>
            </w:pPr>
            <w:r>
              <w:rPr>
                <w:rFonts w:hint="eastAsia"/>
                <w:highlight w:val="none"/>
              </w:rPr>
              <w:t>价格部分</w:t>
            </w:r>
          </w:p>
          <w:p>
            <w:pPr>
              <w:pStyle w:val="25"/>
              <w:rPr>
                <w:highlight w:val="yellow"/>
              </w:rPr>
            </w:pPr>
            <w:r>
              <w:rPr>
                <w:rFonts w:hint="eastAsia"/>
                <w:highlight w:val="none"/>
              </w:rPr>
              <w:t>（</w:t>
            </w:r>
            <w:r>
              <w:rPr>
                <w:rFonts w:hint="eastAsia"/>
                <w:highlight w:val="none"/>
                <w:lang w:val="en-US" w:eastAsia="zh-CN"/>
              </w:rPr>
              <w:t>2</w:t>
            </w:r>
            <w:r>
              <w:rPr>
                <w:rFonts w:hint="eastAsia"/>
                <w:highlight w:val="none"/>
              </w:rPr>
              <w:t>0%）</w:t>
            </w:r>
          </w:p>
        </w:tc>
        <w:tc>
          <w:tcPr>
            <w:tcW w:w="812"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none"/>
              </w:rPr>
            </w:pPr>
            <w:r>
              <w:rPr>
                <w:rFonts w:hint="eastAsia"/>
                <w:highlight w:val="none"/>
              </w:rPr>
              <w:t>招标报价</w:t>
            </w:r>
          </w:p>
          <w:p>
            <w:pPr>
              <w:pStyle w:val="25"/>
              <w:rPr>
                <w:highlight w:val="yellow"/>
              </w:rPr>
            </w:pPr>
            <w:r>
              <w:rPr>
                <w:rFonts w:hint="eastAsia"/>
                <w:highlight w:val="none"/>
              </w:rPr>
              <w:t>（</w:t>
            </w:r>
            <w:r>
              <w:rPr>
                <w:rFonts w:hint="eastAsia"/>
                <w:highlight w:val="none"/>
                <w:lang w:val="en-US" w:eastAsia="zh-CN"/>
              </w:rPr>
              <w:t>20</w:t>
            </w:r>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left"/>
              <w:rPr>
                <w:highlight w:val="none"/>
              </w:rPr>
            </w:pPr>
            <w:r>
              <w:rPr>
                <w:rFonts w:hint="eastAsia"/>
                <w:highlight w:val="none"/>
                <w:lang w:val="en-US" w:eastAsia="zh-CN"/>
              </w:rPr>
              <w:t>1.报价金额</w:t>
            </w:r>
            <w:r>
              <w:rPr>
                <w:rFonts w:hint="eastAsia"/>
                <w:highlight w:val="none"/>
                <w:u w:val="none"/>
                <w:lang w:val="en-US" w:eastAsia="zh-CN"/>
              </w:rPr>
              <w:t>≤</w:t>
            </w:r>
            <w:r>
              <w:rPr>
                <w:rFonts w:hint="eastAsia"/>
                <w:color w:val="000000"/>
                <w:highlight w:val="none"/>
                <w:lang w:val="en-US" w:eastAsia="zh-CN"/>
              </w:rPr>
              <w:t>0.5元/20分钟（20分钟为一个计费周期），</w:t>
            </w:r>
            <w:r>
              <w:rPr>
                <w:rFonts w:hint="eastAsia"/>
                <w:highlight w:val="none"/>
              </w:rPr>
              <w:t>得</w:t>
            </w:r>
            <w:r>
              <w:rPr>
                <w:rFonts w:hint="eastAsia"/>
                <w:highlight w:val="none"/>
                <w:lang w:val="en-US" w:eastAsia="zh-CN"/>
              </w:rPr>
              <w:t>20</w:t>
            </w:r>
            <w:r>
              <w:rPr>
                <w:rFonts w:hint="eastAsia"/>
                <w:highlight w:val="none"/>
              </w:rPr>
              <w:t>分；</w:t>
            </w:r>
          </w:p>
          <w:p>
            <w:pPr>
              <w:pStyle w:val="25"/>
              <w:numPr>
                <w:ilvl w:val="0"/>
                <w:numId w:val="1"/>
              </w:numPr>
              <w:jc w:val="both"/>
              <w:rPr>
                <w:rFonts w:hint="eastAsia"/>
                <w:highlight w:val="none"/>
              </w:rPr>
            </w:pPr>
            <w:r>
              <w:rPr>
                <w:rFonts w:hint="eastAsia"/>
                <w:color w:val="000000"/>
                <w:highlight w:val="none"/>
                <w:lang w:val="en-US" w:eastAsia="zh-CN"/>
              </w:rPr>
              <w:t>0.5元/20分钟（20分钟为一个计费周期）</w:t>
            </w:r>
            <w:r>
              <w:rPr>
                <w:rFonts w:hint="eastAsia"/>
                <w:highlight w:val="none"/>
                <w:lang w:val="en-US" w:eastAsia="zh-CN"/>
              </w:rPr>
              <w:t>＜报价金额</w:t>
            </w:r>
            <w:r>
              <w:rPr>
                <w:rFonts w:hint="eastAsia"/>
                <w:highlight w:val="none"/>
                <w:u w:val="none"/>
                <w:lang w:val="en-US" w:eastAsia="zh-CN"/>
              </w:rPr>
              <w:t>≤</w:t>
            </w:r>
            <w:r>
              <w:rPr>
                <w:rFonts w:hint="eastAsia"/>
                <w:color w:val="000000"/>
                <w:highlight w:val="none"/>
                <w:lang w:val="en-US" w:eastAsia="zh-CN"/>
              </w:rPr>
              <w:t>1元/20分钟（20分钟为一个计费周期），</w:t>
            </w:r>
            <w:r>
              <w:rPr>
                <w:rFonts w:hint="eastAsia"/>
                <w:highlight w:val="none"/>
              </w:rPr>
              <w:t>得</w:t>
            </w:r>
            <w:r>
              <w:rPr>
                <w:rFonts w:hint="eastAsia"/>
                <w:highlight w:val="none"/>
                <w:lang w:val="en-US" w:eastAsia="zh-CN"/>
              </w:rPr>
              <w:t>17</w:t>
            </w:r>
            <w:r>
              <w:rPr>
                <w:rFonts w:hint="eastAsia"/>
                <w:highlight w:val="none"/>
              </w:rPr>
              <w:t>分；</w:t>
            </w:r>
          </w:p>
          <w:p>
            <w:pPr>
              <w:pStyle w:val="25"/>
              <w:numPr>
                <w:ilvl w:val="0"/>
                <w:numId w:val="1"/>
              </w:numPr>
              <w:jc w:val="both"/>
              <w:rPr>
                <w:rFonts w:hint="default"/>
                <w:highlight w:val="none"/>
                <w:lang w:val="en-US" w:eastAsia="zh-CN"/>
              </w:rPr>
            </w:pPr>
            <w:r>
              <w:rPr>
                <w:rFonts w:hint="eastAsia"/>
                <w:highlight w:val="none"/>
                <w:u w:val="none"/>
                <w:lang w:val="en-US" w:eastAsia="zh-CN"/>
              </w:rPr>
              <w:t>1元/20分钟（20分钟为一个计费周期）＜报价金额≤</w:t>
            </w:r>
            <w:r>
              <w:rPr>
                <w:rFonts w:hint="eastAsia"/>
                <w:color w:val="000000"/>
                <w:highlight w:val="none"/>
                <w:lang w:val="en-US" w:eastAsia="zh-CN"/>
              </w:rPr>
              <w:t>1.5元/20分钟（20分钟为一个计费周期），</w:t>
            </w:r>
            <w:r>
              <w:rPr>
                <w:rFonts w:hint="eastAsia"/>
                <w:highlight w:val="none"/>
                <w:u w:val="none"/>
              </w:rPr>
              <w:t>得</w:t>
            </w:r>
            <w:r>
              <w:rPr>
                <w:rFonts w:hint="eastAsia"/>
                <w:highlight w:val="none"/>
                <w:u w:val="none"/>
                <w:lang w:val="en-US" w:eastAsia="zh-CN"/>
              </w:rPr>
              <w:t>15</w:t>
            </w:r>
            <w:r>
              <w:rPr>
                <w:rFonts w:hint="eastAsia"/>
                <w:highlight w:val="none"/>
                <w:u w:val="none"/>
              </w:rPr>
              <w:t>分；</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rPr>
              <w:t>2</w:t>
            </w:r>
          </w:p>
        </w:tc>
        <w:tc>
          <w:tcPr>
            <w:tcW w:w="659"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lang w:val="en-US" w:eastAsia="zh-CN"/>
              </w:rPr>
              <w:t>服务</w:t>
            </w:r>
            <w:r>
              <w:rPr>
                <w:rFonts w:hint="eastAsia"/>
                <w:highlight w:val="none"/>
              </w:rPr>
              <w:t>部分</w:t>
            </w:r>
          </w:p>
          <w:p>
            <w:pPr>
              <w:pStyle w:val="25"/>
              <w:rPr>
                <w:highlight w:val="none"/>
              </w:rPr>
            </w:pPr>
            <w:r>
              <w:rPr>
                <w:rFonts w:hint="eastAsia"/>
                <w:highlight w:val="none"/>
              </w:rPr>
              <w:t>（</w:t>
            </w:r>
            <w:r>
              <w:rPr>
                <w:rFonts w:hint="eastAsia"/>
                <w:highlight w:val="none"/>
                <w:lang w:val="en-US" w:eastAsia="zh-CN"/>
              </w:rPr>
              <w:t>50</w:t>
            </w:r>
            <w:r>
              <w:rPr>
                <w:rFonts w:hint="eastAsia"/>
                <w:highlight w:val="none"/>
              </w:rPr>
              <w:t>%）</w:t>
            </w: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rFonts w:hint="default" w:eastAsia="宋体"/>
                <w:highlight w:val="none"/>
                <w:lang w:val="en-US" w:eastAsia="zh-CN"/>
              </w:rPr>
            </w:pPr>
            <w:r>
              <w:rPr>
                <w:rFonts w:hint="eastAsia"/>
                <w:highlight w:val="none"/>
                <w:lang w:val="en-US" w:eastAsia="zh-CN"/>
              </w:rPr>
              <w:t>服务响应（30分）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rFonts w:hint="eastAsia"/>
                <w:highlight w:val="none"/>
              </w:rPr>
            </w:pPr>
            <w:r>
              <w:rPr>
                <w:rFonts w:hint="eastAsia"/>
                <w:highlight w:val="none"/>
              </w:rPr>
              <w:t>1.起评分：</w:t>
            </w:r>
          </w:p>
          <w:p>
            <w:pPr>
              <w:pStyle w:val="25"/>
              <w:jc w:val="both"/>
              <w:rPr>
                <w:rFonts w:hint="eastAsia"/>
                <w:highlight w:val="none"/>
              </w:rPr>
            </w:pPr>
            <w:r>
              <w:rPr>
                <w:rFonts w:hint="eastAsia"/>
                <w:highlight w:val="none"/>
              </w:rPr>
              <w:t>有效投标人的起评分为30分。</w:t>
            </w:r>
          </w:p>
          <w:p>
            <w:pPr>
              <w:pStyle w:val="25"/>
              <w:jc w:val="both"/>
              <w:rPr>
                <w:rFonts w:hint="eastAsia"/>
                <w:highlight w:val="none"/>
              </w:rPr>
            </w:pPr>
            <w:r>
              <w:rPr>
                <w:rFonts w:hint="eastAsia"/>
                <w:highlight w:val="none"/>
              </w:rPr>
              <w:t>2.扣分条款：</w:t>
            </w:r>
          </w:p>
          <w:p>
            <w:pPr>
              <w:pStyle w:val="25"/>
              <w:jc w:val="both"/>
              <w:rPr>
                <w:rFonts w:hint="eastAsia"/>
                <w:highlight w:val="none"/>
              </w:rPr>
            </w:pPr>
            <w:r>
              <w:rPr>
                <w:rFonts w:hint="eastAsia"/>
                <w:highlight w:val="none"/>
              </w:rPr>
              <w:t>2.1重要服务参数【本招标文件第二篇中带（★）号标注的部分】每负偏离一条从起评分中扣除5分，达到3条（含）及以上不满足的</w:t>
            </w:r>
            <w:r>
              <w:rPr>
                <w:rFonts w:hint="eastAsia"/>
                <w:highlight w:val="none"/>
                <w:lang w:val="en-US" w:eastAsia="zh-CN"/>
              </w:rPr>
              <w:t>服务响应</w:t>
            </w:r>
            <w:r>
              <w:rPr>
                <w:rFonts w:hint="eastAsia"/>
                <w:highlight w:val="none"/>
              </w:rPr>
              <w:t>得0分。</w:t>
            </w:r>
          </w:p>
          <w:p>
            <w:pPr>
              <w:pStyle w:val="25"/>
              <w:jc w:val="both"/>
              <w:rPr>
                <w:rFonts w:hint="eastAsia"/>
                <w:highlight w:val="none"/>
              </w:rPr>
            </w:pPr>
            <w:r>
              <w:rPr>
                <w:rFonts w:hint="eastAsia"/>
                <w:highlight w:val="none"/>
              </w:rPr>
              <w:t>2.2一般性服务参数【本招标文件第二篇中（★）或（※）号标注的部分除外】达不到招标文件要求的，每负偏离一条从起评分中扣除2分，达到5条（含）及以上不满足的</w:t>
            </w:r>
            <w:r>
              <w:rPr>
                <w:rFonts w:hint="eastAsia"/>
                <w:highlight w:val="none"/>
                <w:lang w:val="en-US" w:eastAsia="zh-CN"/>
              </w:rPr>
              <w:t>服务响应</w:t>
            </w:r>
            <w:r>
              <w:rPr>
                <w:rFonts w:hint="eastAsia"/>
                <w:highlight w:val="none"/>
              </w:rPr>
              <w:t>得0分。</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both"/>
              <w:rPr>
                <w:rFonts w:hint="eastAsia"/>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运行服务方案</w:t>
            </w:r>
          </w:p>
          <w:p>
            <w:pPr>
              <w:pStyle w:val="25"/>
              <w:rPr>
                <w:highlight w:val="none"/>
              </w:rPr>
            </w:pPr>
            <w:r>
              <w:rPr>
                <w:rFonts w:hint="eastAsia"/>
                <w:highlight w:val="none"/>
              </w:rPr>
              <w:t>（</w:t>
            </w:r>
            <w:ins w:id="0" w:author="吴传剑" w:date="2024-01-05T11:29:37Z">
              <w:r>
                <w:rPr>
                  <w:rFonts w:hint="eastAsia"/>
                  <w:highlight w:val="none"/>
                  <w:lang w:val="en-US" w:eastAsia="zh-CN"/>
                </w:rPr>
                <w:t>5</w:t>
              </w:r>
            </w:ins>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运行服务方案包括但不限于服务规范和标准、工作人员考核管理制度、设施设备维修维护、安全骑行培训教育活动、售后服务等内容。</w:t>
            </w:r>
          </w:p>
          <w:p>
            <w:pPr>
              <w:pStyle w:val="25"/>
              <w:jc w:val="both"/>
              <w:rPr>
                <w:highlight w:val="none"/>
              </w:rPr>
            </w:pPr>
            <w:r>
              <w:rPr>
                <w:rFonts w:hint="eastAsia"/>
                <w:highlight w:val="none"/>
              </w:rPr>
              <w:t>1.运行服务方案科学合理，安全骑行培训教育活动有真实案例，符合项目实际情况，表述清晰且可行性强得</w:t>
            </w:r>
            <w:r>
              <w:rPr>
                <w:rFonts w:hint="eastAsia"/>
                <w:highlight w:val="none"/>
                <w:lang w:val="en-US" w:eastAsia="zh-CN"/>
              </w:rPr>
              <w:t>5</w:t>
            </w:r>
            <w:r>
              <w:rPr>
                <w:rFonts w:hint="eastAsia"/>
                <w:highlight w:val="none"/>
              </w:rPr>
              <w:t>分；</w:t>
            </w:r>
          </w:p>
          <w:p>
            <w:pPr>
              <w:pStyle w:val="25"/>
              <w:jc w:val="both"/>
              <w:rPr>
                <w:highlight w:val="none"/>
              </w:rPr>
            </w:pPr>
            <w:r>
              <w:rPr>
                <w:rFonts w:hint="eastAsia"/>
                <w:highlight w:val="none"/>
              </w:rPr>
              <w:t>2.运行服务方案科学合理，</w:t>
            </w:r>
            <w:r>
              <w:rPr>
                <w:rFonts w:hint="eastAsia"/>
                <w:highlight w:val="none"/>
                <w:lang w:val="en-US" w:eastAsia="zh-CN"/>
              </w:rPr>
              <w:t>无</w:t>
            </w:r>
            <w:r>
              <w:rPr>
                <w:rFonts w:hint="eastAsia"/>
                <w:highlight w:val="none"/>
              </w:rPr>
              <w:t>安全骑行培训教育活动有真实案例，较符合项目实际情况得</w:t>
            </w:r>
            <w:r>
              <w:rPr>
                <w:rFonts w:hint="eastAsia"/>
                <w:highlight w:val="none"/>
                <w:lang w:val="en-US" w:eastAsia="zh-CN"/>
              </w:rPr>
              <w:t>3</w:t>
            </w:r>
            <w:r>
              <w:rPr>
                <w:rFonts w:hint="eastAsia"/>
                <w:highlight w:val="none"/>
              </w:rPr>
              <w:t>分；</w:t>
            </w:r>
          </w:p>
          <w:p>
            <w:pPr>
              <w:pStyle w:val="25"/>
              <w:jc w:val="both"/>
              <w:rPr>
                <w:highlight w:val="none"/>
              </w:rPr>
            </w:pPr>
            <w:r>
              <w:rPr>
                <w:rFonts w:hint="eastAsia"/>
                <w:highlight w:val="none"/>
              </w:rPr>
              <w:t>3.运行服务方案内容不清，</w:t>
            </w:r>
            <w:r>
              <w:rPr>
                <w:rFonts w:hint="eastAsia"/>
                <w:highlight w:val="none"/>
                <w:lang w:val="en-US" w:eastAsia="zh-CN"/>
              </w:rPr>
              <w:t>无</w:t>
            </w:r>
            <w:r>
              <w:rPr>
                <w:rFonts w:hint="eastAsia"/>
                <w:highlight w:val="none"/>
              </w:rPr>
              <w:t>安全骑行培训教育活动有真实案例，但基本符合项目情况得</w:t>
            </w:r>
            <w:r>
              <w:rPr>
                <w:rFonts w:hint="eastAsia"/>
                <w:highlight w:val="none"/>
                <w:lang w:val="en-US" w:eastAsia="zh-CN"/>
              </w:rPr>
              <w:t>1</w:t>
            </w:r>
            <w:r>
              <w:rPr>
                <w:rFonts w:hint="eastAsia"/>
                <w:highlight w:val="none"/>
              </w:rPr>
              <w:t>分；</w:t>
            </w:r>
          </w:p>
          <w:p>
            <w:pPr>
              <w:pStyle w:val="25"/>
              <w:ind w:firstLine="0" w:firstLineChars="0"/>
              <w:jc w:val="both"/>
              <w:rPr>
                <w:rFonts w:hint="eastAsia"/>
                <w:highlight w:val="none"/>
              </w:rPr>
            </w:pPr>
            <w:r>
              <w:rPr>
                <w:rFonts w:hint="eastAsia"/>
                <w:highlight w:val="none"/>
              </w:rPr>
              <w:t>4.未制定方案得0分。</w:t>
            </w:r>
          </w:p>
        </w:tc>
        <w:tc>
          <w:tcPr>
            <w:tcW w:w="1101" w:type="pct"/>
            <w:tcBorders>
              <w:top w:val="single" w:color="auto" w:sz="4" w:space="0"/>
              <w:left w:val="single" w:color="auto" w:sz="4" w:space="0"/>
              <w:bottom w:val="single" w:color="auto" w:sz="4" w:space="0"/>
              <w:right w:val="single" w:color="auto" w:sz="4" w:space="0"/>
            </w:tcBorders>
            <w:shd w:val="clear" w:color="auto" w:fill="auto"/>
            <w:vAlign w:val="center"/>
          </w:tcPr>
          <w:p>
            <w:pPr>
              <w:pStyle w:val="25"/>
              <w:jc w:val="both"/>
              <w:rPr>
                <w:highlight w:val="none"/>
              </w:rPr>
            </w:pPr>
            <w:r>
              <w:rPr>
                <w:rFonts w:hint="eastAsia"/>
                <w:highlight w:val="none"/>
              </w:rPr>
              <w:t>提供运行服务方案并加盖供应商公章。开展安全骑行培训教育活动的真实案例（需提供学校官网或学校公众号发布活动的文章截图证明，需要和本次投标的业绩对应）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color w:val="FF0000"/>
                <w:highlight w:val="none"/>
              </w:rPr>
            </w:pPr>
            <w:r>
              <w:rPr>
                <w:rFonts w:hint="eastAsia"/>
                <w:color w:val="FF0000"/>
                <w:highlight w:val="none"/>
              </w:rPr>
              <w:t>产品技术先进性</w:t>
            </w:r>
          </w:p>
          <w:p>
            <w:pPr>
              <w:pStyle w:val="25"/>
              <w:rPr>
                <w:color w:val="FF0000"/>
                <w:highlight w:val="none"/>
              </w:rPr>
            </w:pPr>
            <w:r>
              <w:rPr>
                <w:rFonts w:hint="eastAsia"/>
                <w:color w:val="FF0000"/>
                <w:highlight w:val="none"/>
              </w:rPr>
              <w:t>（</w:t>
            </w:r>
            <w:r>
              <w:rPr>
                <w:rFonts w:hint="eastAsia"/>
                <w:color w:val="FF0000"/>
                <w:highlight w:val="none"/>
                <w:lang w:val="en-US" w:eastAsia="zh-CN"/>
              </w:rPr>
              <w:t>5</w:t>
            </w:r>
            <w:r>
              <w:rPr>
                <w:rFonts w:hint="eastAsia"/>
                <w:color w:val="FF0000"/>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rFonts w:hint="eastAsia"/>
                <w:highlight w:val="none"/>
                <w:lang w:val="en-US" w:eastAsia="zh-CN"/>
              </w:rPr>
            </w:pPr>
            <w:r>
              <w:rPr>
                <w:rFonts w:hint="eastAsia"/>
                <w:highlight w:val="none"/>
              </w:rPr>
              <w:t>横向比较投标人所投设备的技术先进性情况</w:t>
            </w:r>
            <w:r>
              <w:rPr>
                <w:rFonts w:hint="eastAsia"/>
                <w:highlight w:val="none"/>
                <w:lang w:eastAsia="zh-CN"/>
              </w:rPr>
              <w:t>，</w:t>
            </w:r>
            <w:r>
              <w:rPr>
                <w:rFonts w:hint="eastAsia"/>
                <w:highlight w:val="none"/>
              </w:rPr>
              <w:t>需提交证明材料</w:t>
            </w:r>
            <w:r>
              <w:rPr>
                <w:rFonts w:hint="eastAsia"/>
                <w:highlight w:val="none"/>
                <w:lang w:val="en-US" w:eastAsia="zh-CN"/>
              </w:rPr>
              <w:t>:</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w:t>
            </w:r>
          </w:p>
          <w:p>
            <w:pPr>
              <w:pStyle w:val="25"/>
              <w:numPr>
                <w:ilvl w:val="0"/>
                <w:numId w:val="2"/>
              </w:numPr>
              <w:jc w:val="both"/>
              <w:rPr>
                <w:rFonts w:hint="eastAsia"/>
                <w:highlight w:val="none"/>
                <w:lang w:val="en-US" w:eastAsia="zh-CN"/>
              </w:rPr>
            </w:pPr>
            <w:r>
              <w:rPr>
                <w:rFonts w:hint="eastAsia"/>
                <w:highlight w:val="none"/>
                <w:lang w:val="en-US" w:eastAsia="zh-CN"/>
              </w:rPr>
              <w:t>本项目相关的</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3C产品认证证书、国家强制性产品认证实验报告提交3项，得5分；</w:t>
            </w:r>
          </w:p>
          <w:p>
            <w:pPr>
              <w:pStyle w:val="25"/>
              <w:numPr>
                <w:ilvl w:val="0"/>
                <w:numId w:val="2"/>
              </w:numPr>
              <w:jc w:val="both"/>
              <w:rPr>
                <w:rFonts w:hint="default"/>
                <w:highlight w:val="none"/>
                <w:lang w:val="en-US"/>
              </w:rPr>
            </w:pPr>
            <w:r>
              <w:rPr>
                <w:rFonts w:hint="eastAsia"/>
                <w:highlight w:val="none"/>
                <w:lang w:val="en-US" w:eastAsia="zh-CN"/>
              </w:rPr>
              <w:t>本项目相关的</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3C产品认证证书、国家强制性产品认证实验报告提交任意2项，得3分；</w:t>
            </w:r>
          </w:p>
          <w:p>
            <w:pPr>
              <w:pStyle w:val="25"/>
              <w:numPr>
                <w:ilvl w:val="0"/>
                <w:numId w:val="2"/>
              </w:numPr>
              <w:jc w:val="both"/>
              <w:rPr>
                <w:rFonts w:hint="default"/>
                <w:highlight w:val="none"/>
                <w:lang w:val="en-US"/>
              </w:rPr>
            </w:pPr>
            <w:r>
              <w:rPr>
                <w:rFonts w:hint="eastAsia"/>
                <w:highlight w:val="none"/>
                <w:lang w:val="en-US" w:eastAsia="zh-CN"/>
              </w:rPr>
              <w:t>本项目相关的</w:t>
            </w:r>
            <w:r>
              <w:rPr>
                <w:rFonts w:hint="eastAsia"/>
                <w:highlight w:val="none"/>
              </w:rPr>
              <w:t>专利</w:t>
            </w:r>
            <w:r>
              <w:rPr>
                <w:rFonts w:hint="eastAsia"/>
                <w:highlight w:val="none"/>
                <w:lang w:val="en-US" w:eastAsia="zh-CN"/>
              </w:rPr>
              <w:t>证书</w:t>
            </w:r>
            <w:r>
              <w:rPr>
                <w:rFonts w:hint="eastAsia"/>
                <w:highlight w:val="none"/>
              </w:rPr>
              <w:t>、</w:t>
            </w:r>
            <w:r>
              <w:rPr>
                <w:rFonts w:hint="eastAsia"/>
                <w:highlight w:val="none"/>
                <w:lang w:val="en-US" w:eastAsia="zh-CN"/>
              </w:rPr>
              <w:t>3C产品认证证书、国家强制性产品认证实验报告提交任意1项，得1分；</w:t>
            </w:r>
          </w:p>
          <w:p>
            <w:pPr>
              <w:pStyle w:val="25"/>
              <w:jc w:val="both"/>
              <w:rPr>
                <w:color w:val="FF0000"/>
                <w:highlight w:val="none"/>
              </w:rPr>
            </w:pPr>
            <w:r>
              <w:rPr>
                <w:rFonts w:hint="eastAsia"/>
                <w:highlight w:val="none"/>
                <w:lang w:val="en-US" w:eastAsia="zh-CN"/>
              </w:rPr>
              <w:t>4.不提交得0分。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提供证明材料并加盖供应商公章。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安全管理方案</w:t>
            </w:r>
          </w:p>
          <w:p>
            <w:pPr>
              <w:pStyle w:val="25"/>
              <w:rPr>
                <w:highlight w:val="none"/>
              </w:rPr>
            </w:pPr>
            <w:r>
              <w:rPr>
                <w:rFonts w:hint="eastAsia"/>
                <w:highlight w:val="none"/>
              </w:rPr>
              <w:t>（</w:t>
            </w:r>
            <w:ins w:id="1" w:author="吴传剑" w:date="2024-01-05T11:28:27Z">
              <w:r>
                <w:rPr>
                  <w:rFonts w:hint="eastAsia"/>
                  <w:highlight w:val="none"/>
                  <w:lang w:val="en-US" w:eastAsia="zh-CN"/>
                </w:rPr>
                <w:t>5</w:t>
              </w:r>
            </w:ins>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1.安全管理方案科学合理，符合项目实际情况，表述清晰且可行性强得</w:t>
            </w:r>
            <w:ins w:id="2" w:author="吴传剑" w:date="2024-01-05T11:28:47Z">
              <w:r>
                <w:rPr>
                  <w:rFonts w:hint="eastAsia"/>
                  <w:highlight w:val="none"/>
                  <w:lang w:val="en-US" w:eastAsia="zh-CN"/>
                </w:rPr>
                <w:t>5</w:t>
              </w:r>
            </w:ins>
            <w:r>
              <w:rPr>
                <w:rFonts w:hint="eastAsia"/>
                <w:highlight w:val="none"/>
              </w:rPr>
              <w:t>分；</w:t>
            </w:r>
          </w:p>
          <w:p>
            <w:pPr>
              <w:pStyle w:val="25"/>
              <w:jc w:val="both"/>
              <w:rPr>
                <w:highlight w:val="none"/>
              </w:rPr>
            </w:pPr>
            <w:r>
              <w:rPr>
                <w:rFonts w:hint="eastAsia"/>
                <w:highlight w:val="none"/>
              </w:rPr>
              <w:t>2.安全管理方案科学合理，较符合项目实际情况</w:t>
            </w:r>
            <w:ins w:id="3" w:author="吴传剑" w:date="2024-01-05T11:28:51Z">
              <w:r>
                <w:rPr>
                  <w:rFonts w:hint="eastAsia"/>
                  <w:highlight w:val="none"/>
                  <w:lang w:val="en-US" w:eastAsia="zh-CN"/>
                </w:rPr>
                <w:t>3</w:t>
              </w:r>
            </w:ins>
            <w:r>
              <w:rPr>
                <w:rFonts w:hint="eastAsia"/>
                <w:highlight w:val="none"/>
              </w:rPr>
              <w:t>分；</w:t>
            </w:r>
          </w:p>
          <w:p>
            <w:pPr>
              <w:pStyle w:val="25"/>
              <w:jc w:val="both"/>
              <w:rPr>
                <w:highlight w:val="none"/>
              </w:rPr>
            </w:pPr>
            <w:r>
              <w:rPr>
                <w:rFonts w:hint="eastAsia"/>
                <w:highlight w:val="none"/>
              </w:rPr>
              <w:t>3.安全管理方案较科学，基本符合项目实际情况得</w:t>
            </w:r>
            <w:ins w:id="4" w:author="吴传剑" w:date="2024-01-05T11:28:54Z">
              <w:r>
                <w:rPr>
                  <w:rFonts w:hint="eastAsia"/>
                  <w:highlight w:val="none"/>
                  <w:lang w:val="en-US" w:eastAsia="zh-CN"/>
                </w:rPr>
                <w:t>1</w:t>
              </w:r>
            </w:ins>
            <w:r>
              <w:rPr>
                <w:rFonts w:hint="eastAsia"/>
                <w:highlight w:val="none"/>
              </w:rPr>
              <w:t>分；</w:t>
            </w:r>
          </w:p>
          <w:p>
            <w:pPr>
              <w:pStyle w:val="25"/>
              <w:jc w:val="both"/>
              <w:rPr>
                <w:highlight w:val="none"/>
              </w:rPr>
            </w:pPr>
            <w:r>
              <w:rPr>
                <w:rFonts w:hint="eastAsia"/>
                <w:highlight w:val="none"/>
              </w:rPr>
              <w:t>4.安全管理方案内容不清或未制定方案得0分。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提供安全管理方案，并加盖供应商公章。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right w:val="single" w:color="auto" w:sz="4" w:space="0"/>
            </w:tcBorders>
            <w:vAlign w:val="center"/>
          </w:tcPr>
          <w:p>
            <w:pPr>
              <w:pStyle w:val="25"/>
              <w:rPr>
                <w:highlight w:val="yellow"/>
              </w:rPr>
            </w:pPr>
          </w:p>
        </w:tc>
        <w:tc>
          <w:tcPr>
            <w:tcW w:w="659" w:type="pct"/>
            <w:vMerge w:val="continue"/>
            <w:tcBorders>
              <w:left w:val="single" w:color="auto" w:sz="4" w:space="0"/>
              <w:right w:val="single" w:color="auto" w:sz="4" w:space="0"/>
            </w:tcBorders>
            <w:vAlign w:val="center"/>
          </w:tcPr>
          <w:p>
            <w:pPr>
              <w:pStyle w:val="25"/>
              <w:rPr>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应急方案</w:t>
            </w:r>
          </w:p>
          <w:p>
            <w:pPr>
              <w:pStyle w:val="25"/>
              <w:rPr>
                <w:highlight w:val="none"/>
              </w:rPr>
            </w:pPr>
            <w:r>
              <w:rPr>
                <w:rFonts w:hint="eastAsia"/>
                <w:highlight w:val="none"/>
              </w:rPr>
              <w:t>（</w:t>
            </w:r>
            <w:r>
              <w:rPr>
                <w:rFonts w:hint="eastAsia"/>
                <w:highlight w:val="none"/>
                <w:lang w:val="en-US" w:eastAsia="zh-CN"/>
              </w:rPr>
              <w:t>5</w:t>
            </w:r>
            <w:r>
              <w:rPr>
                <w:rFonts w:hint="eastAsia"/>
                <w:highlight w:val="none"/>
              </w:rPr>
              <w:t>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针对应急方案的全面性、合理性、科学性及应急措施的可实施性进行打分。</w:t>
            </w:r>
          </w:p>
          <w:p>
            <w:pPr>
              <w:pStyle w:val="25"/>
              <w:jc w:val="both"/>
              <w:rPr>
                <w:highlight w:val="none"/>
              </w:rPr>
            </w:pPr>
            <w:r>
              <w:rPr>
                <w:rFonts w:hint="eastAsia"/>
                <w:highlight w:val="none"/>
                <w:lang w:val="en-US" w:eastAsia="zh-CN"/>
              </w:rPr>
              <w:t>1.</w:t>
            </w:r>
            <w:r>
              <w:rPr>
                <w:rFonts w:hint="eastAsia"/>
                <w:highlight w:val="none"/>
              </w:rPr>
              <w:t>应急方案全面且合理度高，应急措施科学性、可实用性强优得</w:t>
            </w:r>
            <w:r>
              <w:rPr>
                <w:rFonts w:hint="eastAsia"/>
                <w:highlight w:val="none"/>
                <w:lang w:val="en-US" w:eastAsia="zh-CN"/>
              </w:rPr>
              <w:t>5</w:t>
            </w:r>
            <w:r>
              <w:rPr>
                <w:rFonts w:hint="eastAsia"/>
                <w:highlight w:val="none"/>
              </w:rPr>
              <w:t>分；</w:t>
            </w:r>
          </w:p>
          <w:p>
            <w:pPr>
              <w:pStyle w:val="25"/>
              <w:jc w:val="both"/>
              <w:rPr>
                <w:highlight w:val="none"/>
              </w:rPr>
            </w:pPr>
            <w:r>
              <w:rPr>
                <w:rFonts w:hint="eastAsia"/>
                <w:highlight w:val="none"/>
                <w:lang w:val="en-US" w:eastAsia="zh-CN"/>
              </w:rPr>
              <w:t>2.</w:t>
            </w:r>
            <w:r>
              <w:rPr>
                <w:rFonts w:hint="eastAsia"/>
                <w:highlight w:val="none"/>
              </w:rPr>
              <w:t>应急方案及措施好得</w:t>
            </w:r>
            <w:r>
              <w:rPr>
                <w:rFonts w:hint="eastAsia"/>
                <w:highlight w:val="none"/>
                <w:lang w:val="en-US" w:eastAsia="zh-CN"/>
              </w:rPr>
              <w:t>3</w:t>
            </w:r>
            <w:r>
              <w:rPr>
                <w:rFonts w:hint="eastAsia"/>
                <w:highlight w:val="none"/>
              </w:rPr>
              <w:t>分；</w:t>
            </w:r>
          </w:p>
          <w:p>
            <w:pPr>
              <w:pStyle w:val="25"/>
              <w:jc w:val="both"/>
              <w:rPr>
                <w:highlight w:val="none"/>
              </w:rPr>
            </w:pPr>
            <w:r>
              <w:rPr>
                <w:rFonts w:hint="eastAsia"/>
                <w:highlight w:val="none"/>
                <w:lang w:val="en-US" w:eastAsia="zh-CN"/>
              </w:rPr>
              <w:t>3.</w:t>
            </w:r>
            <w:r>
              <w:rPr>
                <w:rFonts w:hint="eastAsia"/>
                <w:highlight w:val="none"/>
              </w:rPr>
              <w:t>应急方案及措施较好得</w:t>
            </w:r>
            <w:r>
              <w:rPr>
                <w:rFonts w:hint="eastAsia"/>
                <w:highlight w:val="none"/>
                <w:lang w:val="en-US" w:eastAsia="zh-CN"/>
              </w:rPr>
              <w:t>1</w:t>
            </w:r>
            <w:r>
              <w:rPr>
                <w:rFonts w:hint="eastAsia"/>
                <w:highlight w:val="none"/>
              </w:rPr>
              <w:t>分；</w:t>
            </w:r>
          </w:p>
          <w:p>
            <w:pPr>
              <w:pStyle w:val="25"/>
              <w:jc w:val="both"/>
              <w:rPr>
                <w:highlight w:val="none"/>
              </w:rPr>
            </w:pPr>
            <w:r>
              <w:rPr>
                <w:rFonts w:hint="eastAsia"/>
                <w:highlight w:val="none"/>
                <w:lang w:val="en-US" w:eastAsia="zh-CN"/>
              </w:rPr>
              <w:t>4.</w:t>
            </w:r>
            <w:r>
              <w:rPr>
                <w:rFonts w:hint="eastAsia"/>
                <w:highlight w:val="none"/>
              </w:rPr>
              <w:t>应急方案及措施差或未提供得0分。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提供应急方案，并加盖供应商公章。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rPr>
              <w:t>3</w:t>
            </w:r>
          </w:p>
        </w:tc>
        <w:tc>
          <w:tcPr>
            <w:tcW w:w="659" w:type="pct"/>
            <w:vMerge w:val="restart"/>
            <w:tcBorders>
              <w:top w:val="single" w:color="auto" w:sz="4" w:space="0"/>
              <w:left w:val="single" w:color="auto" w:sz="4" w:space="0"/>
              <w:right w:val="single" w:color="auto" w:sz="4" w:space="0"/>
            </w:tcBorders>
            <w:vAlign w:val="center"/>
          </w:tcPr>
          <w:p>
            <w:pPr>
              <w:pStyle w:val="25"/>
              <w:rPr>
                <w:highlight w:val="none"/>
              </w:rPr>
            </w:pPr>
            <w:r>
              <w:rPr>
                <w:rFonts w:hint="eastAsia"/>
                <w:highlight w:val="none"/>
              </w:rPr>
              <w:t>商务部分（</w:t>
            </w:r>
            <w:r>
              <w:rPr>
                <w:rFonts w:hint="eastAsia"/>
                <w:highlight w:val="none"/>
                <w:lang w:val="en-US" w:eastAsia="zh-CN"/>
              </w:rPr>
              <w:t>30</w:t>
            </w:r>
            <w:r>
              <w:rPr>
                <w:rFonts w:hint="eastAsia"/>
                <w:highlight w:val="none"/>
              </w:rPr>
              <w:t>%）</w:t>
            </w:r>
          </w:p>
        </w:tc>
        <w:tc>
          <w:tcPr>
            <w:tcW w:w="812" w:type="pct"/>
            <w:tcBorders>
              <w:top w:val="single" w:color="auto" w:sz="4" w:space="0"/>
              <w:left w:val="single" w:color="auto" w:sz="4" w:space="0"/>
              <w:bottom w:val="single" w:color="auto" w:sz="4" w:space="0"/>
              <w:right w:val="single" w:color="auto" w:sz="4" w:space="0"/>
            </w:tcBorders>
            <w:vAlign w:val="center"/>
          </w:tcPr>
          <w:p>
            <w:pPr>
              <w:pStyle w:val="25"/>
              <w:rPr>
                <w:highlight w:val="none"/>
              </w:rPr>
            </w:pPr>
            <w:r>
              <w:rPr>
                <w:rFonts w:hint="eastAsia"/>
                <w:highlight w:val="none"/>
              </w:rPr>
              <w:t>业绩</w:t>
            </w:r>
          </w:p>
          <w:p>
            <w:pPr>
              <w:pStyle w:val="25"/>
              <w:rPr>
                <w:highlight w:val="none"/>
              </w:rPr>
            </w:pPr>
            <w:r>
              <w:rPr>
                <w:rFonts w:hint="eastAsia"/>
                <w:highlight w:val="none"/>
              </w:rPr>
              <w:t>（</w:t>
            </w:r>
            <w:r>
              <w:rPr>
                <w:rFonts w:hint="eastAsia"/>
                <w:highlight w:val="none"/>
                <w:lang w:val="en-US" w:eastAsia="zh-CN"/>
              </w:rPr>
              <w:t>2</w:t>
            </w:r>
            <w:r>
              <w:rPr>
                <w:rFonts w:hint="eastAsia"/>
                <w:highlight w:val="none"/>
              </w:rPr>
              <w:t>5分）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lang w:val="en-US" w:eastAsia="zh-CN"/>
              </w:rPr>
              <w:t>1.</w:t>
            </w:r>
            <w:r>
              <w:rPr>
                <w:rFonts w:hint="eastAsia"/>
                <w:highlight w:val="none"/>
              </w:rPr>
              <w:t>供应商在2019年1月1日至今（含服务期时间）承接过校园交通运营项目业绩的：校园交通运营服务的项目，每提供一个有效业绩得</w:t>
            </w:r>
            <w:r>
              <w:rPr>
                <w:rFonts w:hint="eastAsia"/>
                <w:highlight w:val="none"/>
                <w:lang w:val="en-US" w:eastAsia="zh-CN"/>
              </w:rPr>
              <w:t>4</w:t>
            </w:r>
            <w:r>
              <w:rPr>
                <w:rFonts w:hint="eastAsia"/>
                <w:highlight w:val="none"/>
              </w:rPr>
              <w:t>分，本项最高得</w:t>
            </w:r>
            <w:r>
              <w:rPr>
                <w:rFonts w:hint="eastAsia"/>
                <w:highlight w:val="none"/>
                <w:lang w:val="en-US" w:eastAsia="zh-CN"/>
              </w:rPr>
              <w:t>20</w:t>
            </w:r>
            <w:r>
              <w:rPr>
                <w:rFonts w:hint="eastAsia"/>
                <w:highlight w:val="none"/>
              </w:rPr>
              <w:t xml:space="preserve">分； </w:t>
            </w:r>
          </w:p>
          <w:p>
            <w:pPr>
              <w:pStyle w:val="25"/>
              <w:jc w:val="both"/>
              <w:rPr>
                <w:highlight w:val="none"/>
              </w:rPr>
            </w:pPr>
            <w:r>
              <w:rPr>
                <w:rFonts w:hint="eastAsia"/>
                <w:highlight w:val="none"/>
                <w:lang w:val="en-US" w:eastAsia="zh-CN"/>
              </w:rPr>
              <w:t>2.</w:t>
            </w:r>
            <w:r>
              <w:rPr>
                <w:rFonts w:hint="eastAsia"/>
                <w:highlight w:val="none"/>
              </w:rPr>
              <w:t>以上校园交通运营项目业绩中，有</w:t>
            </w:r>
            <w:r>
              <w:rPr>
                <w:rFonts w:hint="eastAsia"/>
                <w:highlight w:val="none"/>
                <w:lang w:val="en-US" w:eastAsia="zh-CN"/>
              </w:rPr>
              <w:t>和本校区地面高差较大的类似地形地貌或道路坡度在8%-12%范围内</w:t>
            </w:r>
            <w:r>
              <w:rPr>
                <w:rFonts w:hint="eastAsia"/>
                <w:highlight w:val="none"/>
              </w:rPr>
              <w:t>运营经验的，每提供一个有效文件得</w:t>
            </w:r>
            <w:r>
              <w:rPr>
                <w:rFonts w:hint="eastAsia"/>
                <w:highlight w:val="none"/>
                <w:lang w:val="en-US" w:eastAsia="zh-CN"/>
              </w:rPr>
              <w:t>1</w:t>
            </w:r>
            <w:r>
              <w:rPr>
                <w:rFonts w:hint="eastAsia"/>
                <w:highlight w:val="none"/>
              </w:rPr>
              <w:t>分，本项目最高得</w:t>
            </w:r>
            <w:r>
              <w:rPr>
                <w:rFonts w:hint="eastAsia"/>
                <w:highlight w:val="none"/>
                <w:lang w:val="en-US" w:eastAsia="zh-CN"/>
              </w:rPr>
              <w:t>5</w:t>
            </w:r>
            <w:r>
              <w:rPr>
                <w:rFonts w:hint="eastAsia"/>
                <w:highlight w:val="none"/>
              </w:rPr>
              <w:t>分；</w:t>
            </w:r>
          </w:p>
          <w:p>
            <w:pPr>
              <w:pStyle w:val="25"/>
              <w:ind w:firstLine="0" w:firstLineChars="0"/>
              <w:jc w:val="both"/>
              <w:rPr>
                <w:highlight w:val="none"/>
              </w:rPr>
            </w:pPr>
            <w:r>
              <w:rPr>
                <w:rFonts w:hint="eastAsia"/>
                <w:highlight w:val="none"/>
              </w:rPr>
              <w:t>注：以上两项累计最高得</w:t>
            </w:r>
            <w:r>
              <w:rPr>
                <w:rFonts w:hint="eastAsia"/>
                <w:highlight w:val="none"/>
                <w:lang w:val="en-US" w:eastAsia="zh-CN"/>
              </w:rPr>
              <w:t>25</w:t>
            </w:r>
            <w:r>
              <w:rPr>
                <w:rFonts w:hint="eastAsia"/>
                <w:highlight w:val="none"/>
              </w:rPr>
              <w:t>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jc w:val="both"/>
              <w:rPr>
                <w:highlight w:val="none"/>
              </w:rPr>
            </w:pPr>
            <w:r>
              <w:rPr>
                <w:rFonts w:hint="eastAsia"/>
                <w:highlight w:val="none"/>
              </w:rPr>
              <w:t>有效业绩</w:t>
            </w:r>
            <w:r>
              <w:rPr>
                <w:rFonts w:hint="eastAsia"/>
                <w:highlight w:val="none"/>
                <w:lang w:val="en-US" w:eastAsia="zh-CN"/>
              </w:rPr>
              <w:t>证明材料：</w:t>
            </w:r>
            <w:r>
              <w:rPr>
                <w:rFonts w:hint="eastAsia"/>
                <w:highlight w:val="none"/>
              </w:rPr>
              <w:t>供应商签订校园交通运营项目的合同双方的单位名称、合同项目名称、采购内容与签订合同双方的落款盖章</w:t>
            </w:r>
            <w:r>
              <w:rPr>
                <w:rFonts w:hint="eastAsia"/>
                <w:highlight w:val="none"/>
                <w:lang w:val="en-US" w:eastAsia="zh-CN"/>
              </w:rPr>
              <w:t>等页面的复印件加共盖公章</w:t>
            </w:r>
            <w:r>
              <w:rPr>
                <w:rFonts w:hint="eastAsia"/>
                <w:highlight w:val="none"/>
              </w:rPr>
              <w:t>。</w:t>
            </w:r>
          </w:p>
          <w:p>
            <w:pPr>
              <w:pStyle w:val="25"/>
              <w:ind w:firstLine="0" w:firstLineChars="0"/>
              <w:jc w:val="both"/>
              <w:rPr>
                <w:highlight w:val="none"/>
              </w:rPr>
            </w:pPr>
            <w:r>
              <w:rPr>
                <w:rFonts w:hint="eastAsia"/>
                <w:highlight w:val="none"/>
                <w:lang w:val="en-US" w:eastAsia="zh-CN"/>
              </w:rPr>
              <w:t>有效文件证明材料：</w:t>
            </w:r>
            <w:r>
              <w:rPr>
                <w:rFonts w:hint="eastAsia"/>
                <w:highlight w:val="none"/>
              </w:rPr>
              <w:t>供应商提供的证明文件需和有效业绩对应，真实有效，加盖供应商公章。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48" w:type="pct"/>
            <w:vMerge w:val="continue"/>
            <w:tcBorders>
              <w:left w:val="single" w:color="auto" w:sz="4" w:space="0"/>
              <w:bottom w:val="single" w:color="auto" w:sz="4" w:space="0"/>
              <w:right w:val="single" w:color="auto" w:sz="4" w:space="0"/>
            </w:tcBorders>
            <w:vAlign w:val="center"/>
          </w:tcPr>
          <w:p>
            <w:pPr>
              <w:pStyle w:val="25"/>
              <w:rPr>
                <w:rFonts w:hint="eastAsia"/>
                <w:highlight w:val="yellow"/>
              </w:rPr>
            </w:pPr>
          </w:p>
        </w:tc>
        <w:tc>
          <w:tcPr>
            <w:tcW w:w="659" w:type="pct"/>
            <w:vMerge w:val="continue"/>
            <w:tcBorders>
              <w:left w:val="single" w:color="auto" w:sz="4" w:space="0"/>
              <w:bottom w:val="single" w:color="auto" w:sz="4" w:space="0"/>
              <w:right w:val="single" w:color="auto" w:sz="4" w:space="0"/>
            </w:tcBorders>
            <w:vAlign w:val="center"/>
          </w:tcPr>
          <w:p>
            <w:pPr>
              <w:pStyle w:val="25"/>
              <w:rPr>
                <w:rFonts w:hint="eastAsia"/>
                <w:highlight w:val="yellow"/>
              </w:rPr>
            </w:pPr>
          </w:p>
        </w:tc>
        <w:tc>
          <w:tcPr>
            <w:tcW w:w="812" w:type="pct"/>
            <w:tcBorders>
              <w:top w:val="single" w:color="auto" w:sz="4" w:space="0"/>
              <w:left w:val="single" w:color="auto" w:sz="4" w:space="0"/>
              <w:bottom w:val="single" w:color="auto" w:sz="4" w:space="0"/>
              <w:right w:val="single" w:color="auto" w:sz="4" w:space="0"/>
            </w:tcBorders>
            <w:vAlign w:val="center"/>
          </w:tcPr>
          <w:p>
            <w:pPr>
              <w:pStyle w:val="25"/>
              <w:jc w:val="center"/>
              <w:rPr>
                <w:rFonts w:hint="eastAsia"/>
                <w:highlight w:val="none"/>
              </w:rPr>
            </w:pPr>
          </w:p>
          <w:p>
            <w:pPr>
              <w:pStyle w:val="25"/>
              <w:jc w:val="center"/>
              <w:rPr>
                <w:rFonts w:hint="eastAsia"/>
                <w:highlight w:val="none"/>
              </w:rPr>
            </w:pPr>
          </w:p>
          <w:p>
            <w:pPr>
              <w:pStyle w:val="25"/>
              <w:jc w:val="center"/>
              <w:rPr>
                <w:rFonts w:hint="eastAsia"/>
                <w:highlight w:val="none"/>
              </w:rPr>
            </w:pPr>
          </w:p>
          <w:p>
            <w:pPr>
              <w:pStyle w:val="25"/>
              <w:jc w:val="center"/>
              <w:rPr>
                <w:rFonts w:hint="default" w:eastAsia="宋体"/>
                <w:highlight w:val="none"/>
                <w:lang w:val="en-US" w:eastAsia="zh-CN"/>
              </w:rPr>
            </w:pPr>
            <w:r>
              <w:rPr>
                <w:rFonts w:hint="eastAsia"/>
                <w:highlight w:val="none"/>
              </w:rPr>
              <w:t>骑行保险</w:t>
            </w:r>
            <w:r>
              <w:rPr>
                <w:rFonts w:hint="eastAsia"/>
                <w:highlight w:val="none"/>
                <w:lang w:val="en-US" w:eastAsia="zh-CN"/>
              </w:rPr>
              <w:t>购买案例</w:t>
            </w:r>
          </w:p>
          <w:p>
            <w:pPr>
              <w:pStyle w:val="25"/>
              <w:ind w:firstLine="0" w:firstLineChars="0"/>
              <w:jc w:val="center"/>
              <w:rPr>
                <w:rFonts w:hint="eastAsia" w:ascii="宋体" w:hAnsi="宋体" w:eastAsia="宋体" w:cs="宋体"/>
                <w:kern w:val="2"/>
                <w:sz w:val="24"/>
                <w:szCs w:val="28"/>
                <w:highlight w:val="none"/>
                <w:lang w:val="en-US" w:eastAsia="zh-CN" w:bidi="ar-SA"/>
              </w:rPr>
            </w:pPr>
            <w:r>
              <w:rPr>
                <w:rFonts w:hint="eastAsia"/>
                <w:highlight w:val="none"/>
              </w:rPr>
              <w:t>（5分）</w:t>
            </w:r>
          </w:p>
        </w:tc>
        <w:tc>
          <w:tcPr>
            <w:tcW w:w="2078" w:type="pct"/>
            <w:tcBorders>
              <w:top w:val="single" w:color="auto" w:sz="4" w:space="0"/>
              <w:left w:val="single" w:color="auto" w:sz="4" w:space="0"/>
              <w:bottom w:val="single" w:color="auto" w:sz="4" w:space="0"/>
              <w:right w:val="single" w:color="auto" w:sz="4" w:space="0"/>
            </w:tcBorders>
            <w:vAlign w:val="center"/>
          </w:tcPr>
          <w:p>
            <w:pPr>
              <w:pStyle w:val="25"/>
              <w:jc w:val="left"/>
              <w:rPr>
                <w:highlight w:val="none"/>
              </w:rPr>
            </w:pPr>
            <w:r>
              <w:rPr>
                <w:rFonts w:hint="eastAsia"/>
                <w:highlight w:val="none"/>
              </w:rPr>
              <w:t>供应商在2023年内</w:t>
            </w:r>
            <w:r>
              <w:rPr>
                <w:rFonts w:hint="eastAsia"/>
                <w:highlight w:val="none"/>
                <w:lang w:val="en-US" w:eastAsia="zh-CN"/>
              </w:rPr>
              <w:t>校</w:t>
            </w:r>
            <w:r>
              <w:rPr>
                <w:rFonts w:hint="eastAsia"/>
                <w:highlight w:val="none"/>
              </w:rPr>
              <w:t>园交通运营服务</w:t>
            </w:r>
            <w:r>
              <w:rPr>
                <w:rFonts w:hint="eastAsia"/>
                <w:highlight w:val="none"/>
                <w:lang w:val="en-US" w:eastAsia="zh-CN"/>
              </w:rPr>
              <w:t>业绩中</w:t>
            </w:r>
            <w:r>
              <w:rPr>
                <w:rFonts w:hint="eastAsia"/>
                <w:highlight w:val="none"/>
              </w:rPr>
              <w:t>购买的骑行安全保险：</w:t>
            </w:r>
          </w:p>
          <w:p>
            <w:pPr>
              <w:pStyle w:val="25"/>
              <w:jc w:val="left"/>
              <w:rPr>
                <w:highlight w:val="none"/>
              </w:rPr>
            </w:pPr>
            <w:r>
              <w:rPr>
                <w:rFonts w:hint="eastAsia"/>
                <w:highlight w:val="none"/>
              </w:rPr>
              <w:t>1.意外险和第三者责任险每车每次赔偿限额</w:t>
            </w:r>
            <w:r>
              <w:rPr>
                <w:rFonts w:hint="default" w:ascii="Arial" w:hAnsi="Arial" w:cs="Arial"/>
                <w:highlight w:val="none"/>
              </w:rPr>
              <w:t>≥</w:t>
            </w:r>
            <w:r>
              <w:rPr>
                <w:rFonts w:hint="eastAsia"/>
                <w:highlight w:val="none"/>
              </w:rPr>
              <w:t>100万</w:t>
            </w:r>
            <w:r>
              <w:rPr>
                <w:rFonts w:hint="eastAsia"/>
                <w:highlight w:val="none"/>
                <w:lang w:val="en-US" w:eastAsia="zh-CN"/>
              </w:rPr>
              <w:t>人民币</w:t>
            </w:r>
            <w:r>
              <w:rPr>
                <w:rFonts w:hint="eastAsia"/>
                <w:highlight w:val="none"/>
                <w:lang w:eastAsia="zh-CN"/>
              </w:rPr>
              <w:t>，</w:t>
            </w:r>
            <w:r>
              <w:rPr>
                <w:rFonts w:hint="eastAsia"/>
                <w:highlight w:val="none"/>
              </w:rPr>
              <w:t>得5分；</w:t>
            </w:r>
          </w:p>
          <w:p>
            <w:pPr>
              <w:pStyle w:val="25"/>
              <w:jc w:val="left"/>
              <w:rPr>
                <w:highlight w:val="none"/>
              </w:rPr>
            </w:pPr>
            <w:r>
              <w:rPr>
                <w:rFonts w:hint="eastAsia"/>
                <w:highlight w:val="none"/>
              </w:rPr>
              <w:t>2.</w:t>
            </w:r>
            <w:r>
              <w:rPr>
                <w:rFonts w:hint="eastAsia"/>
                <w:highlight w:val="none"/>
                <w:lang w:val="en-US" w:eastAsia="zh-CN"/>
              </w:rPr>
              <w:t>50万人民币</w:t>
            </w:r>
            <w:r>
              <w:rPr>
                <w:rFonts w:hint="default" w:ascii="Arial" w:hAnsi="Arial" w:cs="Arial"/>
                <w:highlight w:val="none"/>
              </w:rPr>
              <w:t>≤</w:t>
            </w:r>
            <w:r>
              <w:rPr>
                <w:rFonts w:hint="eastAsia"/>
                <w:highlight w:val="none"/>
              </w:rPr>
              <w:t>意外险和第三者责任险每车每次赔偿限额</w:t>
            </w:r>
            <w:r>
              <w:rPr>
                <w:rFonts w:hint="eastAsia" w:ascii="微软雅黑" w:hAnsi="微软雅黑" w:eastAsia="微软雅黑" w:cs="微软雅黑"/>
                <w:highlight w:val="none"/>
              </w:rPr>
              <w:t>&lt;</w:t>
            </w:r>
            <w:r>
              <w:rPr>
                <w:rFonts w:hint="eastAsia"/>
                <w:highlight w:val="none"/>
              </w:rPr>
              <w:t>100万</w:t>
            </w:r>
            <w:r>
              <w:rPr>
                <w:rFonts w:hint="eastAsia"/>
                <w:highlight w:val="none"/>
                <w:lang w:val="en-US" w:eastAsia="zh-CN"/>
              </w:rPr>
              <w:t>人民币</w:t>
            </w:r>
            <w:r>
              <w:rPr>
                <w:rFonts w:hint="eastAsia"/>
                <w:highlight w:val="none"/>
                <w:lang w:eastAsia="zh-CN"/>
              </w:rPr>
              <w:t>，</w:t>
            </w:r>
            <w:r>
              <w:rPr>
                <w:rFonts w:hint="eastAsia"/>
                <w:highlight w:val="none"/>
              </w:rPr>
              <w:t>得3分；</w:t>
            </w:r>
          </w:p>
          <w:p>
            <w:pPr>
              <w:pStyle w:val="25"/>
              <w:ind w:firstLine="0" w:firstLineChars="0"/>
              <w:jc w:val="left"/>
              <w:rPr>
                <w:rFonts w:hint="eastAsia" w:ascii="宋体" w:hAnsi="宋体" w:eastAsia="宋体" w:cs="宋体"/>
                <w:kern w:val="2"/>
                <w:sz w:val="24"/>
                <w:szCs w:val="28"/>
                <w:highlight w:val="none"/>
                <w:lang w:val="en-US" w:eastAsia="zh-CN" w:bidi="ar-SA"/>
              </w:rPr>
            </w:pPr>
            <w:r>
              <w:rPr>
                <w:rFonts w:hint="eastAsia"/>
                <w:highlight w:val="none"/>
              </w:rPr>
              <w:t>3.意外险和第三者责任险每车每次赔偿限额</w:t>
            </w:r>
            <w:r>
              <w:rPr>
                <w:rFonts w:hint="eastAsia" w:ascii="微软雅黑" w:hAnsi="微软雅黑" w:eastAsia="微软雅黑" w:cs="微软雅黑"/>
                <w:highlight w:val="none"/>
              </w:rPr>
              <w:t>&lt;</w:t>
            </w:r>
            <w:r>
              <w:rPr>
                <w:rFonts w:hint="eastAsia"/>
                <w:highlight w:val="none"/>
              </w:rPr>
              <w:t>50万</w:t>
            </w:r>
            <w:r>
              <w:rPr>
                <w:rFonts w:hint="eastAsia"/>
                <w:highlight w:val="none"/>
                <w:lang w:val="en-US" w:eastAsia="zh-CN"/>
              </w:rPr>
              <w:t>人民币，</w:t>
            </w:r>
            <w:r>
              <w:rPr>
                <w:rFonts w:hint="eastAsia"/>
                <w:highlight w:val="none"/>
              </w:rPr>
              <w:t>得1分；</w:t>
            </w:r>
          </w:p>
        </w:tc>
        <w:tc>
          <w:tcPr>
            <w:tcW w:w="1101" w:type="pct"/>
            <w:tcBorders>
              <w:top w:val="single" w:color="auto" w:sz="4" w:space="0"/>
              <w:left w:val="single" w:color="auto" w:sz="4" w:space="0"/>
              <w:bottom w:val="single" w:color="auto" w:sz="4" w:space="0"/>
              <w:right w:val="single" w:color="auto" w:sz="4" w:space="0"/>
            </w:tcBorders>
            <w:vAlign w:val="center"/>
          </w:tcPr>
          <w:p>
            <w:pPr>
              <w:pStyle w:val="25"/>
              <w:ind w:firstLine="0" w:firstLineChars="0"/>
              <w:jc w:val="both"/>
              <w:rPr>
                <w:rFonts w:hint="eastAsia" w:ascii="宋体" w:hAnsi="宋体" w:eastAsia="宋体" w:cs="宋体"/>
                <w:kern w:val="2"/>
                <w:sz w:val="24"/>
                <w:szCs w:val="28"/>
                <w:highlight w:val="none"/>
                <w:lang w:val="en-US" w:eastAsia="zh-CN" w:bidi="ar-SA"/>
              </w:rPr>
            </w:pPr>
            <w:r>
              <w:rPr>
                <w:rFonts w:hint="eastAsia"/>
                <w:highlight w:val="none"/>
              </w:rPr>
              <w:t>提供1份供应商在2023年内校园交通运营项目的保险保额证明文件，并加盖学校</w:t>
            </w:r>
            <w:r>
              <w:rPr>
                <w:rFonts w:hint="eastAsia"/>
                <w:highlight w:val="none"/>
                <w:lang w:val="en-US" w:eastAsia="zh-CN"/>
              </w:rPr>
              <w:t>主管部门</w:t>
            </w:r>
            <w:r>
              <w:rPr>
                <w:rFonts w:hint="eastAsia"/>
                <w:highlight w:val="none"/>
              </w:rPr>
              <w:t>公章</w:t>
            </w:r>
            <w:r>
              <w:rPr>
                <w:rFonts w:hint="eastAsia"/>
                <w:highlight w:val="none"/>
                <w:lang w:eastAsia="zh-CN"/>
              </w:rPr>
              <w:t>。</w:t>
            </w:r>
          </w:p>
        </w:tc>
      </w:tr>
    </w:tbl>
    <w:p>
      <w:pPr>
        <w:ind w:firstLine="480"/>
      </w:pPr>
      <w:r>
        <w:rPr>
          <w:rFonts w:hint="eastAsia"/>
        </w:rPr>
        <w:t>说明：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rFonts w:hint="eastAsia"/>
        </w:rPr>
        <w:t>（二）关于小微企业报价扣除比例说明</w:t>
      </w:r>
    </w:p>
    <w:p>
      <w:pPr>
        <w:ind w:firstLine="480"/>
      </w:pPr>
      <w:r>
        <w:rPr>
          <w:rFonts w:hint="eastAsia"/>
        </w:rPr>
        <w:t>对投标货物的制造商为小微型企业的给予</w:t>
      </w:r>
      <w:r>
        <w:t>10</w:t>
      </w:r>
      <w:r>
        <w:rPr>
          <w:rFonts w:hint="eastAsia"/>
        </w:rPr>
        <w:t>%的扣除，以扣除后的报价参与评审。</w:t>
      </w:r>
    </w:p>
    <w:p>
      <w:pPr>
        <w:ind w:firstLine="482"/>
        <w:rPr>
          <w:b/>
          <w:bCs/>
        </w:rPr>
      </w:pPr>
      <w:bookmarkStart w:id="133" w:name="_Toc2900"/>
      <w:bookmarkStart w:id="134" w:name="_Toc123227049"/>
      <w:bookmarkStart w:id="135" w:name="_Toc76373889"/>
      <w:bookmarkStart w:id="136" w:name="_Toc30068"/>
      <w:bookmarkStart w:id="137" w:name="_Toc16925"/>
      <w:bookmarkStart w:id="138" w:name="_Toc5251"/>
      <w:r>
        <w:rPr>
          <w:rFonts w:hint="eastAsia"/>
          <w:b/>
          <w:bCs/>
        </w:rPr>
        <w:t>四、无效投标条款</w:t>
      </w:r>
      <w:bookmarkEnd w:id="133"/>
      <w:bookmarkEnd w:id="134"/>
      <w:bookmarkEnd w:id="135"/>
      <w:bookmarkEnd w:id="136"/>
      <w:bookmarkEnd w:id="137"/>
      <w:bookmarkEnd w:id="138"/>
    </w:p>
    <w:p>
      <w:pPr>
        <w:ind w:firstLine="480"/>
      </w:pPr>
      <w:r>
        <w:rPr>
          <w:rFonts w:hint="eastAsia"/>
        </w:rPr>
        <w:t>投标人或其投标文件出现下列情况之一者，应为无效投标：</w:t>
      </w:r>
    </w:p>
    <w:p>
      <w:pPr>
        <w:ind w:firstLine="480"/>
      </w:pPr>
      <w:r>
        <w:rPr>
          <w:rFonts w:hint="eastAsia"/>
        </w:rPr>
        <w:t>（一）未按照招标文件的规定提交投标保证金的；</w:t>
      </w:r>
    </w:p>
    <w:p>
      <w:pPr>
        <w:ind w:firstLine="480"/>
      </w:pPr>
      <w:r>
        <w:rPr>
          <w:rFonts w:hint="eastAsia"/>
        </w:rPr>
        <w:t>（二）投标文件未按招标文件要求签署、盖章的；</w:t>
      </w:r>
    </w:p>
    <w:p>
      <w:pPr>
        <w:ind w:firstLine="480"/>
      </w:pPr>
      <w:r>
        <w:rPr>
          <w:rFonts w:hint="eastAsia"/>
        </w:rPr>
        <w:t>（三）不具备招标文件中规定的资格要求的；</w:t>
      </w:r>
    </w:p>
    <w:p>
      <w:pPr>
        <w:ind w:firstLine="480"/>
      </w:pPr>
      <w:r>
        <w:rPr>
          <w:rFonts w:hint="eastAsia"/>
        </w:rPr>
        <w:t>（四）报价超过招标文件中规定的预算金额或者最高限价的；</w:t>
      </w:r>
    </w:p>
    <w:p>
      <w:pPr>
        <w:ind w:firstLine="480"/>
      </w:pPr>
      <w:r>
        <w:rPr>
          <w:rFonts w:hint="eastAsia"/>
        </w:rPr>
        <w:t>（五）投标文件含有采购人不能接受的附加条件的；</w:t>
      </w:r>
    </w:p>
    <w:p>
      <w:pPr>
        <w:ind w:firstLine="480"/>
      </w:pPr>
      <w:r>
        <w:rPr>
          <w:rFonts w:hint="eastAsia"/>
        </w:rPr>
        <w:t>（六）投标人串通投标的；</w:t>
      </w:r>
    </w:p>
    <w:p>
      <w:pPr>
        <w:ind w:firstLine="480"/>
      </w:pPr>
      <w:r>
        <w:rPr>
          <w:rFonts w:hint="eastAsia"/>
        </w:rPr>
        <w:t>（七）</w:t>
      </w:r>
      <w:r>
        <w:rPr>
          <w:rFonts w:hint="eastAsia"/>
          <w:lang w:eastAsia="zh-CN"/>
        </w:rPr>
        <w:t>法律法规</w:t>
      </w:r>
      <w:r>
        <w:rPr>
          <w:rFonts w:hint="eastAsia"/>
        </w:rPr>
        <w:t>和招标文件规定的其他无效情形。</w:t>
      </w:r>
    </w:p>
    <w:p>
      <w:pPr>
        <w:ind w:firstLine="482"/>
        <w:rPr>
          <w:b/>
          <w:bCs/>
        </w:rPr>
      </w:pPr>
      <w:bookmarkStart w:id="139" w:name="_Toc123227050"/>
      <w:bookmarkStart w:id="140" w:name="_Toc27443"/>
      <w:bookmarkStart w:id="141" w:name="_Toc20034"/>
      <w:bookmarkStart w:id="142" w:name="_Toc11342"/>
      <w:bookmarkStart w:id="143" w:name="_Toc76373890"/>
      <w:bookmarkStart w:id="144" w:name="_Toc26071"/>
      <w:r>
        <w:rPr>
          <w:rFonts w:hint="eastAsia"/>
          <w:b/>
          <w:bCs/>
        </w:rPr>
        <w:t>五、废标条款</w:t>
      </w:r>
      <w:bookmarkEnd w:id="139"/>
      <w:bookmarkEnd w:id="140"/>
      <w:bookmarkEnd w:id="141"/>
      <w:bookmarkEnd w:id="142"/>
      <w:bookmarkEnd w:id="143"/>
      <w:bookmarkEnd w:id="144"/>
    </w:p>
    <w:p>
      <w:pPr>
        <w:ind w:firstLine="480"/>
      </w:pPr>
      <w:r>
        <w:rPr>
          <w:rFonts w:hint="eastAsia"/>
        </w:rPr>
        <w:t>在招标采购中，出现下列情形之一的，应予废标：</w:t>
      </w:r>
    </w:p>
    <w:p>
      <w:pPr>
        <w:ind w:firstLine="480"/>
      </w:pPr>
      <w:r>
        <w:rPr>
          <w:rFonts w:hint="eastAsia"/>
        </w:rPr>
        <w:t>（一）符合专业条件的投标人或者对招标文件作实质响应的投标人不足三家的；</w:t>
      </w:r>
    </w:p>
    <w:p>
      <w:pPr>
        <w:ind w:firstLine="480"/>
      </w:pPr>
      <w:r>
        <w:rPr>
          <w:rFonts w:hint="eastAsia"/>
        </w:rPr>
        <w:t>（二）投标人的报价均超过了采购预算，采购人不能支付的；</w:t>
      </w:r>
    </w:p>
    <w:p>
      <w:pPr>
        <w:ind w:firstLine="480"/>
      </w:pPr>
      <w:r>
        <w:rPr>
          <w:rFonts w:hint="eastAsia"/>
        </w:rPr>
        <w:t>（三）出现影响采购公正的违法、违规行为的；</w:t>
      </w:r>
    </w:p>
    <w:p>
      <w:pPr>
        <w:ind w:firstLine="480"/>
      </w:pPr>
      <w:r>
        <w:rPr>
          <w:rFonts w:hint="eastAsia"/>
        </w:rPr>
        <w:t>（四）因重大变故，采购任务取消的。</w:t>
      </w:r>
    </w:p>
    <w:p>
      <w:pPr>
        <w:ind w:firstLine="480"/>
      </w:pPr>
      <w:r>
        <w:rPr>
          <w:rFonts w:hint="eastAsia"/>
        </w:rPr>
        <w:t>废标后，除采购任务取消情形外，应当重新组织采购。</w:t>
      </w:r>
    </w:p>
    <w:p>
      <w:pPr>
        <w:ind w:firstLine="480"/>
      </w:pPr>
      <w:r>
        <w:br w:type="page"/>
      </w:r>
    </w:p>
    <w:p>
      <w:pPr>
        <w:pStyle w:val="3"/>
      </w:pPr>
      <w:bookmarkStart w:id="145" w:name="_Toc27646"/>
      <w:bookmarkStart w:id="146" w:name="_Toc25199"/>
      <w:bookmarkStart w:id="147" w:name="_Toc20391"/>
      <w:bookmarkStart w:id="148" w:name="_Toc76373891"/>
      <w:bookmarkStart w:id="149" w:name="_Toc31077"/>
      <w:bookmarkStart w:id="150" w:name="_Toc29202"/>
      <w:bookmarkStart w:id="151" w:name="_Toc10518"/>
      <w:bookmarkStart w:id="152" w:name="_Toc123227051"/>
      <w:bookmarkStart w:id="153" w:name="_Toc10864"/>
      <w:r>
        <w:rPr>
          <w:rFonts w:hint="eastAsia"/>
        </w:rPr>
        <w:t>第五篇  投标人须知</w:t>
      </w:r>
      <w:bookmarkEnd w:id="145"/>
      <w:bookmarkEnd w:id="146"/>
      <w:bookmarkEnd w:id="147"/>
      <w:bookmarkEnd w:id="148"/>
      <w:bookmarkEnd w:id="149"/>
      <w:bookmarkEnd w:id="150"/>
      <w:bookmarkEnd w:id="151"/>
      <w:bookmarkEnd w:id="152"/>
      <w:bookmarkEnd w:id="153"/>
    </w:p>
    <w:p>
      <w:pPr>
        <w:pStyle w:val="4"/>
        <w:spacing w:line="400" w:lineRule="exact"/>
        <w:ind w:firstLine="482" w:firstLineChars="200"/>
        <w:textAlignment w:val="baseline"/>
        <w:rPr>
          <w:rFonts w:cs="宋体"/>
          <w:b/>
          <w:sz w:val="24"/>
        </w:rPr>
      </w:pPr>
      <w:bookmarkStart w:id="154" w:name="_Toc28590"/>
      <w:bookmarkStart w:id="155" w:name="_Toc15996"/>
      <w:bookmarkStart w:id="156" w:name="_Toc103605790"/>
      <w:bookmarkStart w:id="157" w:name="_Toc97661421"/>
      <w:bookmarkStart w:id="158" w:name="_Toc17823"/>
      <w:bookmarkStart w:id="159" w:name="_Toc19018"/>
      <w:bookmarkStart w:id="160" w:name="_Toc1733"/>
      <w:bookmarkStart w:id="161" w:name="_Toc26807"/>
      <w:bookmarkStart w:id="162" w:name="_Toc123227052"/>
      <w:bookmarkStart w:id="163" w:name="_Toc76373892"/>
      <w:bookmarkStart w:id="164" w:name="_Toc8878"/>
      <w:r>
        <w:rPr>
          <w:rFonts w:hint="eastAsia" w:cs="宋体"/>
          <w:b/>
          <w:sz w:val="24"/>
        </w:rPr>
        <w:t>一、</w:t>
      </w:r>
      <w:r>
        <w:rPr>
          <w:rFonts w:hint="eastAsia" w:cs="宋体"/>
          <w:b/>
          <w:sz w:val="24"/>
          <w:lang w:eastAsia="zh-CN"/>
        </w:rPr>
        <w:t>招标</w:t>
      </w:r>
      <w:r>
        <w:rPr>
          <w:rFonts w:hint="eastAsia" w:cs="宋体"/>
          <w:b/>
          <w:sz w:val="24"/>
        </w:rPr>
        <w:t>费用</w:t>
      </w:r>
      <w:bookmarkEnd w:id="154"/>
      <w:bookmarkEnd w:id="155"/>
      <w:bookmarkEnd w:id="156"/>
      <w:bookmarkEnd w:id="157"/>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参与</w:t>
      </w:r>
      <w:r>
        <w:rPr>
          <w:rFonts w:hint="eastAsia" w:ascii="宋体" w:hAnsi="宋体" w:cs="宋体"/>
          <w:kern w:val="0"/>
          <w:sz w:val="24"/>
          <w:szCs w:val="24"/>
          <w:lang w:val="en-US" w:eastAsia="zh-CN"/>
        </w:rPr>
        <w:t>投</w:t>
      </w:r>
      <w:r>
        <w:rPr>
          <w:rFonts w:hint="eastAsia" w:ascii="宋体" w:hAnsi="宋体" w:cs="宋体"/>
          <w:kern w:val="0"/>
          <w:sz w:val="24"/>
          <w:szCs w:val="24"/>
          <w:lang w:eastAsia="zh-CN"/>
        </w:rPr>
        <w:t>标</w:t>
      </w:r>
      <w:r>
        <w:rPr>
          <w:rFonts w:hint="eastAsia" w:ascii="宋体" w:hAnsi="宋体" w:cs="宋体"/>
          <w:kern w:val="0"/>
          <w:sz w:val="24"/>
          <w:szCs w:val="24"/>
        </w:rPr>
        <w:t>的供应商应承担其编制响应文件与递交响应文件所涉及的一切费用，不论</w:t>
      </w:r>
      <w:r>
        <w:rPr>
          <w:rFonts w:hint="eastAsia" w:ascii="宋体" w:hAnsi="宋体" w:cs="宋体"/>
          <w:kern w:val="0"/>
          <w:sz w:val="24"/>
          <w:szCs w:val="24"/>
          <w:lang w:eastAsia="zh-CN"/>
        </w:rPr>
        <w:t>招标</w:t>
      </w:r>
      <w:r>
        <w:rPr>
          <w:rFonts w:hint="eastAsia" w:ascii="宋体" w:hAnsi="宋体" w:cs="宋体"/>
          <w:kern w:val="0"/>
          <w:sz w:val="24"/>
          <w:szCs w:val="24"/>
        </w:rPr>
        <w:t>结果如何，采购人在任何情况下无义务也无责任承担这些费用。</w:t>
      </w:r>
    </w:p>
    <w:p>
      <w:pPr>
        <w:pStyle w:val="4"/>
        <w:spacing w:line="400" w:lineRule="exact"/>
        <w:ind w:firstLine="482" w:firstLineChars="200"/>
        <w:textAlignment w:val="baseline"/>
        <w:rPr>
          <w:rFonts w:cs="宋体"/>
          <w:b/>
          <w:sz w:val="24"/>
        </w:rPr>
      </w:pPr>
      <w:bookmarkStart w:id="165" w:name="_Toc103605791"/>
      <w:bookmarkStart w:id="166" w:name="_Toc68269985"/>
      <w:bookmarkStart w:id="167" w:name="_Toc25361"/>
      <w:bookmarkStart w:id="168" w:name="_Toc19889"/>
      <w:bookmarkStart w:id="169" w:name="_Toc97661422"/>
      <w:bookmarkStart w:id="170" w:name="_Toc342913391"/>
      <w:r>
        <w:rPr>
          <w:rFonts w:hint="eastAsia" w:cs="宋体"/>
          <w:b/>
          <w:sz w:val="24"/>
        </w:rPr>
        <w:t>二、</w:t>
      </w:r>
      <w:r>
        <w:rPr>
          <w:rFonts w:hint="eastAsia" w:cs="宋体"/>
          <w:b/>
          <w:sz w:val="24"/>
          <w:lang w:eastAsia="zh-CN"/>
        </w:rPr>
        <w:t>招标</w:t>
      </w:r>
      <w:r>
        <w:rPr>
          <w:rFonts w:hint="eastAsia" w:cs="宋体"/>
          <w:b/>
          <w:sz w:val="24"/>
        </w:rPr>
        <w:t>文件</w:t>
      </w:r>
      <w:bookmarkEnd w:id="165"/>
      <w:bookmarkEnd w:id="166"/>
      <w:bookmarkEnd w:id="167"/>
      <w:bookmarkEnd w:id="168"/>
      <w:bookmarkEnd w:id="169"/>
      <w:bookmarkEnd w:id="170"/>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w:t>
      </w:r>
      <w:r>
        <w:rPr>
          <w:rFonts w:hint="eastAsia" w:ascii="宋体" w:hAnsi="宋体" w:cs="宋体"/>
          <w:kern w:val="0"/>
          <w:sz w:val="24"/>
          <w:szCs w:val="24"/>
          <w:lang w:eastAsia="zh-CN"/>
        </w:rPr>
        <w:t>招标</w:t>
      </w:r>
      <w:r>
        <w:rPr>
          <w:rFonts w:hint="eastAsia" w:ascii="宋体" w:hAnsi="宋体" w:cs="宋体"/>
          <w:kern w:val="0"/>
          <w:sz w:val="24"/>
          <w:szCs w:val="24"/>
        </w:rPr>
        <w:t>文件由采购邀请书、项目服务需求、供应商须知、项目商务需求、</w:t>
      </w:r>
      <w:r>
        <w:rPr>
          <w:rFonts w:hint="eastAsia" w:ascii="宋体" w:hAnsi="宋体" w:cs="宋体"/>
          <w:kern w:val="0"/>
          <w:sz w:val="24"/>
          <w:szCs w:val="24"/>
          <w:lang w:eastAsia="zh-CN"/>
        </w:rPr>
        <w:t>招标</w:t>
      </w:r>
      <w:r>
        <w:rPr>
          <w:rFonts w:hint="eastAsia" w:ascii="宋体" w:hAnsi="宋体" w:cs="宋体"/>
          <w:kern w:val="0"/>
          <w:sz w:val="24"/>
          <w:szCs w:val="24"/>
        </w:rPr>
        <w:t>程序及方法、评审标准、无效响应和采购终止、供应商须知、采购合同、响应文件编制要求七部分组成。</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（二）采购人（或采购代理机构）所作的一切有效的书面通知、修改及补充，都是</w:t>
      </w:r>
      <w:r>
        <w:rPr>
          <w:rFonts w:hint="eastAsia" w:ascii="宋体" w:hAnsi="宋体" w:cs="宋体"/>
          <w:kern w:val="0"/>
          <w:sz w:val="24"/>
          <w:szCs w:val="24"/>
          <w:lang w:eastAsia="zh-CN"/>
        </w:rPr>
        <w:t>招标</w:t>
      </w:r>
      <w:r>
        <w:rPr>
          <w:rFonts w:hint="eastAsia" w:ascii="宋体" w:hAnsi="宋体" w:cs="宋体"/>
          <w:kern w:val="0"/>
          <w:sz w:val="24"/>
          <w:szCs w:val="24"/>
        </w:rPr>
        <w:t>文件不可分割的部分。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招标</w:t>
      </w:r>
      <w:r>
        <w:rPr>
          <w:rFonts w:hint="eastAsia" w:ascii="宋体" w:hAnsi="宋体" w:cs="宋体"/>
          <w:kern w:val="0"/>
          <w:sz w:val="24"/>
          <w:szCs w:val="24"/>
        </w:rPr>
        <w:t>文件的解释</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供应商如对</w:t>
      </w:r>
      <w:r>
        <w:rPr>
          <w:rFonts w:hint="eastAsia" w:ascii="宋体" w:hAnsi="宋体" w:cs="宋体"/>
          <w:kern w:val="0"/>
          <w:sz w:val="24"/>
          <w:szCs w:val="24"/>
          <w:lang w:eastAsia="zh-CN"/>
        </w:rPr>
        <w:t>招标</w:t>
      </w:r>
      <w:r>
        <w:rPr>
          <w:rFonts w:hint="eastAsia" w:ascii="宋体" w:hAnsi="宋体" w:cs="宋体"/>
          <w:kern w:val="0"/>
          <w:sz w:val="24"/>
          <w:szCs w:val="24"/>
        </w:rPr>
        <w:t>文件有疑问，必须以书面形式在提交响应文件截止时间3个工作日前向采购人（或采购代理机构）要求澄清，采购人（或采购代理机构）可视具体情况做出处理或答复。如供应商未提出疑问，视为完全理解并同意本</w:t>
      </w:r>
      <w:r>
        <w:rPr>
          <w:rFonts w:hint="eastAsia" w:ascii="宋体" w:hAnsi="宋体" w:cs="宋体"/>
          <w:kern w:val="0"/>
          <w:sz w:val="24"/>
          <w:szCs w:val="24"/>
          <w:lang w:eastAsia="zh-CN"/>
        </w:rPr>
        <w:t>招标</w:t>
      </w:r>
      <w:r>
        <w:rPr>
          <w:rFonts w:hint="eastAsia" w:ascii="宋体" w:hAnsi="宋体" w:cs="宋体"/>
          <w:kern w:val="0"/>
          <w:sz w:val="24"/>
          <w:szCs w:val="24"/>
        </w:rPr>
        <w:t>文件。一经进入</w:t>
      </w:r>
      <w:r>
        <w:rPr>
          <w:rFonts w:hint="eastAsia" w:ascii="宋体" w:hAnsi="宋体" w:cs="宋体"/>
          <w:kern w:val="0"/>
          <w:sz w:val="24"/>
          <w:szCs w:val="24"/>
          <w:lang w:eastAsia="zh-CN"/>
        </w:rPr>
        <w:t>招标</w:t>
      </w:r>
      <w:r>
        <w:rPr>
          <w:rFonts w:hint="eastAsia" w:ascii="宋体" w:hAnsi="宋体" w:cs="宋体"/>
          <w:kern w:val="0"/>
          <w:sz w:val="24"/>
          <w:szCs w:val="24"/>
        </w:rPr>
        <w:t>程序，即视为供应商已详细阅读全部文件资料，完全理解</w:t>
      </w:r>
      <w:r>
        <w:rPr>
          <w:rFonts w:hint="eastAsia" w:ascii="宋体" w:hAnsi="宋体" w:cs="宋体"/>
          <w:kern w:val="0"/>
          <w:sz w:val="24"/>
          <w:szCs w:val="24"/>
          <w:lang w:eastAsia="zh-CN"/>
        </w:rPr>
        <w:t>招标</w:t>
      </w:r>
      <w:r>
        <w:rPr>
          <w:rFonts w:hint="eastAsia" w:ascii="宋体" w:hAnsi="宋体" w:cs="宋体"/>
          <w:kern w:val="0"/>
          <w:sz w:val="24"/>
          <w:szCs w:val="24"/>
        </w:rPr>
        <w:t>文件所有条款内容并同意放弃对这方面有不明白及误解的权利。</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（四）本</w:t>
      </w:r>
      <w:r>
        <w:rPr>
          <w:rFonts w:hint="eastAsia" w:ascii="宋体" w:hAnsi="宋体" w:cs="宋体"/>
          <w:kern w:val="0"/>
          <w:sz w:val="24"/>
          <w:szCs w:val="24"/>
          <w:lang w:eastAsia="zh-CN"/>
        </w:rPr>
        <w:t>招标</w:t>
      </w:r>
      <w:r>
        <w:rPr>
          <w:rFonts w:hint="eastAsia" w:ascii="宋体" w:hAnsi="宋体" w:cs="宋体"/>
          <w:kern w:val="0"/>
          <w:sz w:val="24"/>
          <w:szCs w:val="24"/>
        </w:rPr>
        <w:t>文件中，</w:t>
      </w:r>
      <w:r>
        <w:rPr>
          <w:rFonts w:hint="eastAsia" w:ascii="宋体" w:hAnsi="宋体" w:cs="宋体"/>
          <w:kern w:val="0"/>
          <w:sz w:val="24"/>
          <w:szCs w:val="24"/>
          <w:lang w:eastAsia="zh-CN"/>
        </w:rPr>
        <w:t>招标</w:t>
      </w:r>
      <w:r>
        <w:rPr>
          <w:rFonts w:hint="eastAsia" w:ascii="宋体" w:hAnsi="宋体" w:cs="宋体"/>
          <w:kern w:val="0"/>
          <w:sz w:val="24"/>
          <w:szCs w:val="24"/>
        </w:rPr>
        <w:t>小组根据与供应商进行</w:t>
      </w:r>
      <w:r>
        <w:rPr>
          <w:rFonts w:hint="eastAsia" w:ascii="宋体" w:hAnsi="宋体" w:cs="宋体"/>
          <w:kern w:val="0"/>
          <w:sz w:val="24"/>
          <w:szCs w:val="24"/>
          <w:lang w:eastAsia="zh-CN"/>
        </w:rPr>
        <w:t>招标</w:t>
      </w:r>
      <w:r>
        <w:rPr>
          <w:rFonts w:hint="eastAsia" w:ascii="宋体" w:hAnsi="宋体" w:cs="宋体"/>
          <w:kern w:val="0"/>
          <w:sz w:val="24"/>
          <w:szCs w:val="24"/>
        </w:rPr>
        <w:t>可能实质性变动的内容为</w:t>
      </w:r>
      <w:r>
        <w:rPr>
          <w:rFonts w:hint="eastAsia" w:ascii="宋体" w:hAnsi="宋体" w:cs="宋体"/>
          <w:kern w:val="0"/>
          <w:sz w:val="24"/>
          <w:szCs w:val="24"/>
          <w:lang w:eastAsia="zh-CN"/>
        </w:rPr>
        <w:t>招标</w:t>
      </w:r>
      <w:r>
        <w:rPr>
          <w:rFonts w:hint="eastAsia" w:ascii="宋体" w:hAnsi="宋体" w:cs="宋体"/>
          <w:kern w:val="0"/>
          <w:sz w:val="24"/>
          <w:szCs w:val="24"/>
        </w:rPr>
        <w:t>文件第二、三、六篇全部内容。</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（五）评审的依据为</w:t>
      </w:r>
      <w:r>
        <w:rPr>
          <w:rFonts w:hint="eastAsia" w:ascii="宋体" w:hAnsi="宋体" w:cs="宋体"/>
          <w:kern w:val="0"/>
          <w:sz w:val="24"/>
          <w:szCs w:val="24"/>
          <w:lang w:eastAsia="zh-CN"/>
        </w:rPr>
        <w:t>招标</w:t>
      </w:r>
      <w:r>
        <w:rPr>
          <w:rFonts w:hint="eastAsia" w:ascii="宋体" w:hAnsi="宋体" w:cs="宋体"/>
          <w:kern w:val="0"/>
          <w:sz w:val="24"/>
          <w:szCs w:val="24"/>
        </w:rPr>
        <w:t>文件和响应文件（含有效的书面承诺）。</w:t>
      </w:r>
      <w:r>
        <w:rPr>
          <w:rFonts w:hint="eastAsia" w:ascii="宋体" w:hAnsi="宋体" w:cs="宋体"/>
          <w:kern w:val="0"/>
          <w:sz w:val="24"/>
          <w:szCs w:val="24"/>
          <w:lang w:eastAsia="zh-CN"/>
        </w:rPr>
        <w:t>招标</w:t>
      </w:r>
      <w:r>
        <w:rPr>
          <w:rFonts w:hint="eastAsia" w:ascii="宋体" w:hAnsi="宋体" w:cs="宋体"/>
          <w:kern w:val="0"/>
          <w:sz w:val="24"/>
          <w:szCs w:val="24"/>
        </w:rPr>
        <w:t>小组判断响应文件对</w:t>
      </w:r>
      <w:r>
        <w:rPr>
          <w:rFonts w:hint="eastAsia" w:ascii="宋体" w:hAnsi="宋体" w:cs="宋体"/>
          <w:kern w:val="0"/>
          <w:sz w:val="24"/>
          <w:szCs w:val="24"/>
          <w:lang w:eastAsia="zh-CN"/>
        </w:rPr>
        <w:t>招标</w:t>
      </w:r>
      <w:r>
        <w:rPr>
          <w:rFonts w:hint="eastAsia" w:ascii="宋体" w:hAnsi="宋体" w:cs="宋体"/>
          <w:kern w:val="0"/>
          <w:sz w:val="24"/>
          <w:szCs w:val="24"/>
        </w:rPr>
        <w:t>文件的响应，仅基于响应文件本身而不靠外部证据。</w:t>
      </w:r>
    </w:p>
    <w:p>
      <w:pPr>
        <w:pStyle w:val="4"/>
        <w:spacing w:line="400" w:lineRule="exact"/>
        <w:ind w:firstLine="482" w:firstLineChars="200"/>
        <w:textAlignment w:val="baseline"/>
        <w:rPr>
          <w:rFonts w:cs="宋体"/>
          <w:b/>
          <w:sz w:val="24"/>
        </w:rPr>
      </w:pPr>
      <w:bookmarkStart w:id="171" w:name="_Toc179714297"/>
      <w:bookmarkStart w:id="172" w:name="_Toc342913392"/>
      <w:bookmarkStart w:id="173" w:name="_Toc68269986"/>
      <w:bookmarkStart w:id="174" w:name="_Toc102227318"/>
      <w:bookmarkStart w:id="175" w:name="_Toc5538"/>
      <w:bookmarkStart w:id="176" w:name="_Toc19493"/>
      <w:bookmarkStart w:id="177" w:name="_Toc97661423"/>
      <w:bookmarkStart w:id="178" w:name="_Toc103605792"/>
      <w:r>
        <w:rPr>
          <w:rFonts w:hint="eastAsia" w:cs="宋体"/>
          <w:b/>
          <w:sz w:val="24"/>
        </w:rPr>
        <w:t>三、</w:t>
      </w:r>
      <w:r>
        <w:rPr>
          <w:rFonts w:hint="eastAsia" w:cs="宋体"/>
          <w:b/>
          <w:sz w:val="24"/>
          <w:lang w:eastAsia="zh-CN"/>
        </w:rPr>
        <w:t>招标</w:t>
      </w:r>
      <w:r>
        <w:rPr>
          <w:rFonts w:hint="eastAsia" w:cs="宋体"/>
          <w:b/>
          <w:sz w:val="24"/>
        </w:rPr>
        <w:t>要求</w:t>
      </w:r>
      <w:bookmarkEnd w:id="171"/>
      <w:bookmarkEnd w:id="172"/>
      <w:bookmarkEnd w:id="173"/>
      <w:bookmarkEnd w:id="174"/>
      <w:bookmarkEnd w:id="175"/>
      <w:bookmarkEnd w:id="176"/>
      <w:bookmarkEnd w:id="177"/>
      <w:bookmarkEnd w:id="178"/>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（一）响应文件</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1.供应商应当按照</w:t>
      </w:r>
      <w:r>
        <w:rPr>
          <w:rFonts w:hint="eastAsia" w:ascii="宋体" w:hAnsi="宋体" w:cs="宋体"/>
          <w:kern w:val="0"/>
          <w:sz w:val="24"/>
          <w:szCs w:val="24"/>
          <w:lang w:eastAsia="zh-CN"/>
        </w:rPr>
        <w:t>招标</w:t>
      </w:r>
      <w:r>
        <w:rPr>
          <w:rFonts w:hint="eastAsia" w:ascii="宋体" w:hAnsi="宋体" w:cs="宋体"/>
          <w:kern w:val="0"/>
          <w:sz w:val="24"/>
          <w:szCs w:val="24"/>
        </w:rPr>
        <w:t>文件的要求编制响应文件，并对</w:t>
      </w:r>
      <w:r>
        <w:rPr>
          <w:rFonts w:hint="eastAsia" w:ascii="宋体" w:hAnsi="宋体" w:cs="宋体"/>
          <w:kern w:val="0"/>
          <w:sz w:val="24"/>
          <w:szCs w:val="24"/>
          <w:lang w:eastAsia="zh-CN"/>
        </w:rPr>
        <w:t>招标</w:t>
      </w:r>
      <w:r>
        <w:rPr>
          <w:rFonts w:hint="eastAsia" w:ascii="宋体" w:hAnsi="宋体" w:cs="宋体"/>
          <w:kern w:val="0"/>
          <w:sz w:val="24"/>
          <w:szCs w:val="24"/>
        </w:rPr>
        <w:t>文件提出的要求和条件作出实质性响应，响应文件原则上采用软面订本，同时应编制完整的页码、目录。</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2.响应文件组成</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（二）联合体</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不接受。</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w:t>
      </w:r>
      <w:r>
        <w:rPr>
          <w:rFonts w:hint="eastAsia" w:ascii="宋体" w:hAnsi="宋体" w:cs="宋体"/>
          <w:kern w:val="0"/>
          <w:sz w:val="24"/>
          <w:szCs w:val="24"/>
          <w:lang w:eastAsia="zh-CN"/>
        </w:rPr>
        <w:t>招标</w:t>
      </w:r>
      <w:r>
        <w:rPr>
          <w:rFonts w:hint="eastAsia" w:ascii="宋体" w:hAnsi="宋体" w:cs="宋体"/>
          <w:kern w:val="0"/>
          <w:sz w:val="24"/>
          <w:szCs w:val="24"/>
        </w:rPr>
        <w:t>有效期：响应文件及有关承诺文件有效期为提交响应文件截止时间起90天。</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（四）修正错误</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1.若供应商所递交的响应文件或最后报价中的价格出现大写金额和小写金额不一致的错误，以大写金额修正为准。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lang w:eastAsia="zh-CN"/>
        </w:rPr>
        <w:t>招标</w:t>
      </w:r>
      <w:r>
        <w:rPr>
          <w:rFonts w:hint="eastAsia" w:ascii="宋体" w:hAnsi="宋体" w:cs="宋体"/>
          <w:kern w:val="0"/>
          <w:sz w:val="24"/>
          <w:szCs w:val="24"/>
        </w:rPr>
        <w:t>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（五）提交响应文件的份数和签署</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1.响应文件一式三份，其中正本一份，副本二份；副本可为正本的复印件，应与正本一致，如出现不一致情况以正本为准。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2.在响应文件正本中，</w:t>
      </w:r>
      <w:r>
        <w:rPr>
          <w:rFonts w:hint="eastAsia" w:ascii="宋体" w:hAnsi="宋体" w:cs="宋体"/>
          <w:kern w:val="0"/>
          <w:sz w:val="24"/>
          <w:szCs w:val="24"/>
          <w:lang w:eastAsia="zh-CN"/>
        </w:rPr>
        <w:t>招标</w:t>
      </w:r>
      <w:r>
        <w:rPr>
          <w:rFonts w:hint="eastAsia" w:ascii="宋体" w:hAnsi="宋体" w:cs="宋体"/>
          <w:kern w:val="0"/>
          <w:sz w:val="24"/>
          <w:szCs w:val="24"/>
        </w:rPr>
        <w:t>文件第六篇响应文件编制要求中规定签字、盖章的地方必须按其规定签字、盖章。</w:t>
      </w:r>
    </w:p>
    <w:p>
      <w:pPr>
        <w:snapToGrid w:val="0"/>
        <w:spacing w:line="400" w:lineRule="exact"/>
        <w:ind w:firstLine="465"/>
        <w:textAlignment w:val="baseline"/>
        <w:rPr>
          <w:rFonts w:ascii="宋体" w:hAnsi="宋体" w:cs="宋体"/>
          <w:kern w:val="0"/>
          <w:sz w:val="24"/>
          <w:szCs w:val="24"/>
        </w:rPr>
      </w:pPr>
      <w:bookmarkStart w:id="179" w:name="_Toc68269987"/>
      <w:r>
        <w:rPr>
          <w:rFonts w:hint="eastAsia" w:ascii="宋体" w:hAnsi="宋体" w:cs="宋体"/>
          <w:kern w:val="0"/>
          <w:sz w:val="24"/>
          <w:szCs w:val="24"/>
        </w:rPr>
        <w:t>（六）响应文件的递交</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响应文件的正本、副本均应密封送达</w:t>
      </w:r>
      <w:r>
        <w:rPr>
          <w:rFonts w:hint="eastAsia" w:ascii="宋体" w:hAnsi="宋体" w:cs="宋体"/>
          <w:kern w:val="0"/>
          <w:sz w:val="24"/>
          <w:szCs w:val="24"/>
          <w:lang w:eastAsia="zh-CN"/>
        </w:rPr>
        <w:t>招标</w:t>
      </w:r>
      <w:r>
        <w:rPr>
          <w:rFonts w:hint="eastAsia" w:ascii="宋体" w:hAnsi="宋体" w:cs="宋体"/>
          <w:kern w:val="0"/>
          <w:sz w:val="24"/>
          <w:szCs w:val="24"/>
        </w:rPr>
        <w:t>地点，应在封套上注明</w:t>
      </w:r>
      <w:r>
        <w:rPr>
          <w:rFonts w:hint="eastAsia" w:ascii="宋体" w:hAnsi="宋体" w:cs="宋体"/>
          <w:kern w:val="0"/>
          <w:sz w:val="24"/>
          <w:szCs w:val="24"/>
          <w:lang w:eastAsia="zh-CN"/>
        </w:rPr>
        <w:t>招标</w:t>
      </w:r>
      <w:r>
        <w:rPr>
          <w:rFonts w:hint="eastAsia" w:ascii="宋体" w:hAnsi="宋体" w:cs="宋体"/>
          <w:kern w:val="0"/>
          <w:sz w:val="24"/>
          <w:szCs w:val="24"/>
        </w:rPr>
        <w:t>项目名称、供应商名称。若正本、副本是分别进行密封的，还应在封套上注明“正本”、“副本”字样。</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（七）供应商参与人员</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各个供应商应当派1-2名代表参与</w:t>
      </w:r>
      <w:r>
        <w:rPr>
          <w:rFonts w:hint="eastAsia" w:ascii="宋体" w:hAnsi="宋体" w:cs="宋体"/>
          <w:kern w:val="0"/>
          <w:sz w:val="24"/>
          <w:szCs w:val="24"/>
          <w:lang w:eastAsia="zh-CN"/>
        </w:rPr>
        <w:t>招标</w:t>
      </w:r>
      <w:r>
        <w:rPr>
          <w:rFonts w:hint="eastAsia" w:ascii="宋体" w:hAnsi="宋体" w:cs="宋体"/>
          <w:kern w:val="0"/>
          <w:sz w:val="24"/>
          <w:szCs w:val="24"/>
        </w:rPr>
        <w:t>，至少1人应为法定代表人（或其授权代表或自然人）。</w:t>
      </w:r>
    </w:p>
    <w:p>
      <w:pPr>
        <w:pStyle w:val="4"/>
        <w:spacing w:line="400" w:lineRule="exact"/>
        <w:ind w:firstLine="482" w:firstLineChars="200"/>
        <w:textAlignment w:val="baseline"/>
        <w:rPr>
          <w:rFonts w:cs="宋体"/>
          <w:b/>
          <w:sz w:val="24"/>
        </w:rPr>
      </w:pPr>
      <w:bookmarkStart w:id="180" w:name="_Toc28730"/>
      <w:bookmarkStart w:id="181" w:name="_Toc103605793"/>
      <w:bookmarkStart w:id="182" w:name="_Toc26997"/>
      <w:bookmarkStart w:id="183" w:name="_Toc97661424"/>
      <w:r>
        <w:rPr>
          <w:rFonts w:hint="eastAsia" w:cs="宋体"/>
          <w:b/>
          <w:sz w:val="24"/>
        </w:rPr>
        <w:t>四、成交供应商的确认和变更</w:t>
      </w:r>
      <w:bookmarkEnd w:id="179"/>
      <w:bookmarkEnd w:id="180"/>
      <w:bookmarkEnd w:id="181"/>
      <w:bookmarkEnd w:id="182"/>
      <w:bookmarkEnd w:id="183"/>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（一）成交供应商的确认</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kern w:val="0"/>
          <w:sz w:val="24"/>
          <w:szCs w:val="24"/>
          <w:lang w:eastAsia="zh-CN"/>
        </w:rPr>
        <w:t>招标</w:t>
      </w:r>
      <w:r>
        <w:rPr>
          <w:rFonts w:hint="eastAsia" w:ascii="宋体" w:hAnsi="宋体" w:cs="宋体"/>
          <w:kern w:val="0"/>
          <w:sz w:val="24"/>
          <w:szCs w:val="24"/>
        </w:rPr>
        <w:t>小组直接确定成交供应商。采购人逾期未确定成交供应商且不提出异议的，视为确定评审报告提出的排序第一的供应商为成交供应商。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（二）成交供应商的变更</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成交供应商拒绝与采购人签订合同的，采购人可以按照评标报告推荐的成交候选供应商顺序，确定排名下一位的候选人为成交供应商，也可以重新开展采购活动。</w:t>
      </w:r>
    </w:p>
    <w:p>
      <w:pPr>
        <w:pStyle w:val="4"/>
        <w:spacing w:line="400" w:lineRule="exact"/>
        <w:ind w:firstLine="482" w:firstLineChars="200"/>
        <w:textAlignment w:val="baseline"/>
        <w:rPr>
          <w:rFonts w:cs="宋体"/>
          <w:b/>
          <w:sz w:val="24"/>
        </w:rPr>
      </w:pPr>
      <w:bookmarkStart w:id="184" w:name="_Toc102227321"/>
      <w:bookmarkStart w:id="185" w:name="_Toc68269988"/>
      <w:bookmarkStart w:id="186" w:name="_Toc13913"/>
      <w:bookmarkStart w:id="187" w:name="_Toc31386"/>
      <w:bookmarkStart w:id="188" w:name="_Toc97661425"/>
      <w:bookmarkStart w:id="189" w:name="_Toc342913395"/>
      <w:bookmarkStart w:id="190" w:name="_Toc103605794"/>
      <w:r>
        <w:rPr>
          <w:rFonts w:hint="eastAsia" w:cs="宋体"/>
          <w:b/>
          <w:sz w:val="24"/>
        </w:rPr>
        <w:t>五、成交通知</w:t>
      </w:r>
      <w:bookmarkEnd w:id="184"/>
      <w:bookmarkEnd w:id="185"/>
      <w:bookmarkEnd w:id="186"/>
      <w:bookmarkEnd w:id="187"/>
      <w:bookmarkEnd w:id="188"/>
      <w:bookmarkEnd w:id="189"/>
      <w:bookmarkEnd w:id="190"/>
    </w:p>
    <w:p>
      <w:pPr>
        <w:snapToGrid w:val="0"/>
        <w:spacing w:line="400" w:lineRule="exact"/>
        <w:ind w:firstLine="465"/>
        <w:textAlignment w:val="baseline"/>
        <w:rPr>
          <w:rFonts w:ascii="宋体" w:hAnsi="宋体" w:cs="宋体"/>
          <w:kern w:val="0"/>
          <w:sz w:val="24"/>
          <w:szCs w:val="24"/>
        </w:rPr>
      </w:pPr>
      <w:bookmarkStart w:id="191" w:name="_Toc68269989"/>
      <w:r>
        <w:rPr>
          <w:rFonts w:hint="eastAsia" w:ascii="宋体" w:hAnsi="宋体" w:cs="宋体"/>
          <w:kern w:val="0"/>
          <w:sz w:val="24"/>
          <w:szCs w:val="24"/>
        </w:rPr>
        <w:t>（一）成交投标单位确定后，采购人将在</w:t>
      </w:r>
      <w:r>
        <w:rPr>
          <w:rFonts w:hint="eastAsia" w:ascii="宋体" w:hAnsi="宋体" w:eastAsia="宋体" w:cs="宋体"/>
          <w:i w:val="0"/>
          <w:iCs w:val="0"/>
          <w:caps w:val="0"/>
          <w:spacing w:val="0"/>
          <w:kern w:val="0"/>
          <w:sz w:val="24"/>
          <w:szCs w:val="22"/>
        </w:rPr>
        <w:t>重庆工程职业技术学院官方网站（https://www.cqvie.edu.cn/）</w:t>
      </w:r>
      <w:r>
        <w:rPr>
          <w:rFonts w:hint="eastAsia" w:cs="宋体"/>
          <w:i w:val="0"/>
          <w:iCs w:val="0"/>
          <w:caps w:val="0"/>
          <w:spacing w:val="0"/>
          <w:kern w:val="0"/>
          <w:sz w:val="24"/>
          <w:szCs w:val="22"/>
          <w:lang w:val="en-US" w:eastAsia="zh-CN"/>
        </w:rPr>
        <w:t>和</w:t>
      </w:r>
      <w:r>
        <w:rPr>
          <w:rFonts w:hint="eastAsia" w:ascii="宋体" w:hAnsi="宋体" w:eastAsia="宋体" w:cs="宋体"/>
          <w:i w:val="0"/>
          <w:iCs w:val="0"/>
          <w:caps w:val="0"/>
          <w:spacing w:val="0"/>
          <w:kern w:val="0"/>
          <w:sz w:val="24"/>
          <w:szCs w:val="22"/>
        </w:rPr>
        <w:t>“行采家”平台（http://www.gec123.com）</w:t>
      </w:r>
      <w:r>
        <w:rPr>
          <w:rFonts w:hint="eastAsia"/>
          <w:lang w:val="en-US" w:eastAsia="zh-CN"/>
        </w:rPr>
        <w:t>上</w:t>
      </w:r>
      <w:r>
        <w:rPr>
          <w:rFonts w:hint="eastAsia" w:ascii="宋体" w:hAnsi="宋体" w:cs="宋体"/>
          <w:kern w:val="0"/>
          <w:sz w:val="24"/>
          <w:szCs w:val="24"/>
        </w:rPr>
        <w:t>发布成交结果公告。</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（二）结果公告发出同时，采购人将以书面形式发出《成交通知书》。《成交通知书》一经发出即发生法律效力。</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（三）《成交通知书》将作为签订合同的依据。</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（四）如有投标单位对成交结果提出质疑的，在质疑处理完毕后发出成交通知书。</w:t>
      </w:r>
    </w:p>
    <w:p>
      <w:pPr>
        <w:pStyle w:val="4"/>
        <w:spacing w:line="400" w:lineRule="exact"/>
        <w:ind w:firstLine="482" w:firstLineChars="200"/>
        <w:textAlignment w:val="baseline"/>
        <w:rPr>
          <w:rFonts w:cs="宋体"/>
          <w:b/>
          <w:sz w:val="24"/>
        </w:rPr>
      </w:pPr>
      <w:bookmarkStart w:id="192" w:name="_Toc14544"/>
      <w:bookmarkStart w:id="193" w:name="_Toc97661426"/>
      <w:bookmarkStart w:id="194" w:name="_Toc5572"/>
      <w:bookmarkStart w:id="195" w:name="_Toc103605795"/>
      <w:r>
        <w:rPr>
          <w:rFonts w:hint="eastAsia" w:cs="宋体"/>
          <w:b/>
          <w:sz w:val="24"/>
        </w:rPr>
        <w:t>六、关于质疑和投诉</w:t>
      </w:r>
      <w:bookmarkEnd w:id="191"/>
      <w:bookmarkEnd w:id="192"/>
      <w:bookmarkEnd w:id="193"/>
      <w:bookmarkEnd w:id="194"/>
      <w:bookmarkEnd w:id="195"/>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（一）质疑内容、时限</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1、投标单位对成交结果有异议的，应当在结果公告期限届满之日起七个工作日内以书面形式向采购人提出质疑，并附相关证明材料。</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2、投标单位对</w:t>
      </w:r>
      <w:r>
        <w:rPr>
          <w:rFonts w:hint="eastAsia" w:ascii="宋体" w:hAnsi="宋体" w:cs="宋体"/>
          <w:kern w:val="0"/>
          <w:sz w:val="24"/>
          <w:szCs w:val="24"/>
          <w:lang w:eastAsia="zh-CN"/>
        </w:rPr>
        <w:t>招标</w:t>
      </w:r>
      <w:r>
        <w:rPr>
          <w:rFonts w:hint="eastAsia" w:ascii="宋体" w:hAnsi="宋体" w:cs="宋体"/>
          <w:kern w:val="0"/>
          <w:sz w:val="24"/>
          <w:szCs w:val="24"/>
        </w:rPr>
        <w:t>文件中投标单位特定资格条件、技术质量和商务要求、评审标准及评审细则有异议的，应主要向采购单位技术联系人提出质疑，其他问题可向采购经办人提出质疑。</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（二）质疑答复</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采购人在收到投标单位书面质疑后七个工作日内，对质疑内容作出答复。</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（三）不予受理或暂缓受理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1、质疑有下列情形之一的，不予受理：</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1.1质疑投标单位参与了</w:t>
      </w:r>
      <w:r>
        <w:rPr>
          <w:rFonts w:hint="eastAsia" w:ascii="宋体" w:hAnsi="宋体" w:cs="宋体"/>
          <w:kern w:val="0"/>
          <w:sz w:val="24"/>
          <w:szCs w:val="24"/>
          <w:lang w:eastAsia="zh-CN"/>
        </w:rPr>
        <w:t>招标</w:t>
      </w:r>
      <w:r>
        <w:rPr>
          <w:rFonts w:hint="eastAsia" w:ascii="宋体" w:hAnsi="宋体" w:cs="宋体"/>
          <w:kern w:val="0"/>
          <w:sz w:val="24"/>
          <w:szCs w:val="24"/>
        </w:rPr>
        <w:t>活动后，再对</w:t>
      </w:r>
      <w:r>
        <w:rPr>
          <w:rFonts w:hint="eastAsia" w:ascii="宋体" w:hAnsi="宋体" w:cs="宋体"/>
          <w:kern w:val="0"/>
          <w:sz w:val="24"/>
          <w:szCs w:val="24"/>
          <w:lang w:eastAsia="zh-CN"/>
        </w:rPr>
        <w:t>招标</w:t>
      </w:r>
      <w:r>
        <w:rPr>
          <w:rFonts w:hint="eastAsia" w:ascii="宋体" w:hAnsi="宋体" w:cs="宋体"/>
          <w:kern w:val="0"/>
          <w:sz w:val="24"/>
          <w:szCs w:val="24"/>
        </w:rPr>
        <w:t>文件内容提出质疑的；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1.2质疑超过有效期的；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1.3对同一事项重复质疑的。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2、质疑有下列情形之一的，应暂不受理并告知投标单位补充材料。投标单位及时补充材料的，应予受理；逾期未补充的，不予受理：</w:t>
      </w:r>
    </w:p>
    <w:p>
      <w:pPr>
        <w:spacing w:line="400" w:lineRule="exact"/>
        <w:ind w:firstLine="465"/>
        <w:textAlignment w:val="baseline"/>
      </w:pPr>
      <w:r>
        <w:rPr>
          <w:rFonts w:hint="eastAsia" w:ascii="宋体" w:hAnsi="宋体" w:cs="宋体"/>
          <w:kern w:val="0"/>
          <w:sz w:val="24"/>
          <w:szCs w:val="24"/>
        </w:rPr>
        <w:t>2.1质疑书格式和内容不符合国家或重庆市相关规定的；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2.2质疑书提供的依据或证明材料不全的；</w:t>
      </w:r>
    </w:p>
    <w:p>
      <w:pPr>
        <w:snapToGrid w:val="0"/>
        <w:spacing w:line="400" w:lineRule="exact"/>
        <w:ind w:firstLine="465"/>
        <w:textAlignment w:val="baseline"/>
        <w:rPr>
          <w:rFonts w:ascii="宋体" w:hAnsi="宋体" w:cs="宋体"/>
          <w:kern w:val="0"/>
          <w:sz w:val="24"/>
          <w:szCs w:val="24"/>
        </w:rPr>
      </w:pPr>
      <w:r>
        <w:rPr>
          <w:rFonts w:hint="eastAsia" w:ascii="宋体" w:hAnsi="宋体" w:cs="宋体"/>
          <w:kern w:val="0"/>
          <w:sz w:val="24"/>
          <w:szCs w:val="24"/>
        </w:rPr>
        <w:t>2.3质疑书副本数量不足的。</w:t>
      </w:r>
    </w:p>
    <w:p>
      <w:pPr>
        <w:pStyle w:val="4"/>
        <w:spacing w:line="400" w:lineRule="exact"/>
        <w:ind w:firstLine="482" w:firstLineChars="200"/>
        <w:textAlignment w:val="baseline"/>
        <w:rPr>
          <w:rFonts w:cs="宋体"/>
          <w:b/>
          <w:sz w:val="24"/>
          <w:szCs w:val="22"/>
        </w:rPr>
      </w:pPr>
      <w:bookmarkStart w:id="196" w:name="_Toc12625569"/>
      <w:bookmarkStart w:id="197" w:name="_Toc97661427"/>
      <w:bookmarkStart w:id="198" w:name="_Toc103605796"/>
      <w:bookmarkStart w:id="199" w:name="_Toc1968"/>
      <w:bookmarkStart w:id="200" w:name="_Toc25247"/>
      <w:r>
        <w:rPr>
          <w:rFonts w:hint="eastAsia" w:cs="宋体"/>
          <w:b/>
          <w:sz w:val="24"/>
          <w:szCs w:val="22"/>
        </w:rPr>
        <w:t>七、签订合同</w:t>
      </w:r>
      <w:bookmarkEnd w:id="196"/>
      <w:bookmarkEnd w:id="197"/>
      <w:bookmarkEnd w:id="198"/>
      <w:bookmarkEnd w:id="199"/>
      <w:bookmarkEnd w:id="200"/>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（一）采购人应当自成交通知书发出之日起二十日内，按照</w:t>
      </w:r>
      <w:r>
        <w:rPr>
          <w:rFonts w:hint="eastAsia" w:ascii="宋体" w:hAnsi="宋体" w:cs="宋体"/>
          <w:sz w:val="24"/>
          <w:szCs w:val="24"/>
          <w:lang w:eastAsia="zh-CN"/>
        </w:rPr>
        <w:t>招标</w:t>
      </w:r>
      <w:r>
        <w:rPr>
          <w:rFonts w:hint="eastAsia" w:ascii="宋体" w:hAnsi="宋体" w:cs="宋体"/>
          <w:sz w:val="24"/>
          <w:szCs w:val="24"/>
        </w:rPr>
        <w:t>文件和成交投标单位响应文件的约定，与成交投标单位签订书面合同。所签订的合同不得对</w:t>
      </w:r>
      <w:r>
        <w:rPr>
          <w:rFonts w:hint="eastAsia" w:ascii="宋体" w:hAnsi="宋体" w:cs="宋体"/>
          <w:sz w:val="24"/>
          <w:szCs w:val="24"/>
          <w:lang w:eastAsia="zh-CN"/>
        </w:rPr>
        <w:t>招标</w:t>
      </w:r>
      <w:r>
        <w:rPr>
          <w:rFonts w:hint="eastAsia" w:ascii="宋体" w:hAnsi="宋体" w:cs="宋体"/>
          <w:sz w:val="24"/>
          <w:szCs w:val="24"/>
        </w:rPr>
        <w:t>文件和投标单位的响应文件作实质性修改。</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（二）</w:t>
      </w:r>
      <w:r>
        <w:rPr>
          <w:rFonts w:hint="eastAsia" w:ascii="宋体" w:hAnsi="宋体" w:cs="宋体"/>
          <w:sz w:val="24"/>
          <w:szCs w:val="24"/>
          <w:lang w:eastAsia="zh-CN"/>
        </w:rPr>
        <w:t>招标</w:t>
      </w:r>
      <w:r>
        <w:rPr>
          <w:rFonts w:hint="eastAsia" w:ascii="宋体" w:hAnsi="宋体" w:cs="宋体"/>
          <w:sz w:val="24"/>
          <w:szCs w:val="24"/>
        </w:rPr>
        <w:t>文件、投标单位的响应文件及澄清文件等，均为签订采购合同的依据。</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（三）合同生效条款由供需双方约定，法律、行政法规规定应当办理批准、登记等手续后生效的合同，依照其规定。</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（四）合同原则上应按照《采购合同》签订，相关单位要求适用合同通用格式版本的，应按其要求另行签订其他合同。</w:t>
      </w:r>
    </w:p>
    <w:p>
      <w:pPr>
        <w:snapToGrid w:val="0"/>
        <w:spacing w:line="400" w:lineRule="exact"/>
        <w:ind w:firstLine="480" w:firstLineChars="200"/>
        <w:textAlignment w:val="baseline"/>
        <w:rPr>
          <w:rFonts w:ascii="宋体" w:hAnsi="宋体" w:cs="宋体"/>
          <w:sz w:val="24"/>
          <w:szCs w:val="24"/>
        </w:rPr>
      </w:pPr>
      <w:r>
        <w:rPr>
          <w:rFonts w:hint="eastAsia" w:ascii="宋体" w:hAnsi="宋体" w:cs="宋体"/>
          <w:sz w:val="24"/>
          <w:szCs w:val="24"/>
        </w:rPr>
        <w:t>（五）采购人要求成交投标单位提供履约保证金的，应当在</w:t>
      </w:r>
      <w:r>
        <w:rPr>
          <w:rFonts w:hint="eastAsia" w:ascii="宋体" w:hAnsi="宋体" w:cs="宋体"/>
          <w:sz w:val="24"/>
          <w:szCs w:val="24"/>
          <w:lang w:eastAsia="zh-CN"/>
        </w:rPr>
        <w:t>招标</w:t>
      </w:r>
      <w:r>
        <w:rPr>
          <w:rFonts w:hint="eastAsia" w:ascii="宋体" w:hAnsi="宋体" w:cs="宋体"/>
          <w:sz w:val="24"/>
          <w:szCs w:val="24"/>
        </w:rPr>
        <w:t>文件中予以约定。成交投标单位履约完毕后，采购人应按</w:t>
      </w:r>
      <w:r>
        <w:rPr>
          <w:rFonts w:hint="eastAsia" w:ascii="宋体" w:hAnsi="宋体" w:cs="宋体"/>
          <w:sz w:val="24"/>
          <w:szCs w:val="24"/>
          <w:lang w:eastAsia="zh-CN"/>
        </w:rPr>
        <w:t>招标</w:t>
      </w:r>
      <w:r>
        <w:rPr>
          <w:rFonts w:hint="eastAsia" w:ascii="宋体" w:hAnsi="宋体" w:cs="宋体"/>
          <w:sz w:val="24"/>
          <w:szCs w:val="24"/>
        </w:rPr>
        <w:t>文件及合同的约定无息退还其履约保证金。</w:t>
      </w:r>
    </w:p>
    <w:bookmarkEnd w:id="158"/>
    <w:bookmarkEnd w:id="159"/>
    <w:bookmarkEnd w:id="160"/>
    <w:bookmarkEnd w:id="161"/>
    <w:bookmarkEnd w:id="162"/>
    <w:bookmarkEnd w:id="163"/>
    <w:bookmarkEnd w:id="164"/>
    <w:p>
      <w:pPr>
        <w:pStyle w:val="3"/>
      </w:pPr>
      <w:bookmarkStart w:id="201" w:name="_Toc650"/>
      <w:bookmarkStart w:id="202" w:name="_Toc123227065"/>
      <w:bookmarkStart w:id="203" w:name="_Toc19409"/>
      <w:bookmarkStart w:id="204" w:name="_Toc24088"/>
      <w:bookmarkStart w:id="205" w:name="_Toc76373904"/>
      <w:bookmarkStart w:id="206" w:name="_Toc10152"/>
      <w:bookmarkStart w:id="207" w:name="_Toc20762"/>
      <w:bookmarkStart w:id="208" w:name="_Toc6673"/>
      <w:bookmarkStart w:id="209" w:name="_Toc2205"/>
      <w:r>
        <w:rPr>
          <w:rFonts w:hint="eastAsia"/>
        </w:rPr>
        <w:t>第六篇  合同主要条款和格式合同（样本）</w:t>
      </w:r>
      <w:bookmarkEnd w:id="201"/>
      <w:bookmarkEnd w:id="202"/>
      <w:bookmarkEnd w:id="203"/>
      <w:bookmarkEnd w:id="204"/>
      <w:bookmarkEnd w:id="205"/>
      <w:bookmarkEnd w:id="206"/>
      <w:bookmarkEnd w:id="207"/>
      <w:bookmarkEnd w:id="208"/>
      <w:bookmarkEnd w:id="209"/>
    </w:p>
    <w:p>
      <w:pPr>
        <w:pStyle w:val="4"/>
      </w:pPr>
      <w:bookmarkStart w:id="210" w:name="_Toc285722712"/>
      <w:bookmarkStart w:id="211" w:name="_Toc10930"/>
      <w:bookmarkStart w:id="212" w:name="_Toc8304"/>
      <w:bookmarkStart w:id="213" w:name="_Toc1264"/>
      <w:bookmarkStart w:id="214" w:name="_Toc76373905"/>
      <w:bookmarkStart w:id="215" w:name="_Toc123227066"/>
      <w:bookmarkStart w:id="216" w:name="_Toc30180"/>
      <w:bookmarkStart w:id="217" w:name="_Toc277084870"/>
      <w:bookmarkStart w:id="218" w:name="_Toc13344"/>
      <w:bookmarkStart w:id="219" w:name="_Toc10713"/>
      <w:bookmarkStart w:id="220" w:name="_Toc6976"/>
      <w:r>
        <w:rPr>
          <w:rFonts w:hint="eastAsia"/>
        </w:rPr>
        <w:t>一、合同主要条款</w:t>
      </w:r>
      <w:bookmarkEnd w:id="210"/>
      <w:bookmarkEnd w:id="211"/>
      <w:bookmarkEnd w:id="212"/>
      <w:bookmarkEnd w:id="213"/>
      <w:bookmarkEnd w:id="214"/>
      <w:bookmarkEnd w:id="215"/>
      <w:bookmarkEnd w:id="216"/>
      <w:bookmarkEnd w:id="217"/>
      <w:bookmarkEnd w:id="218"/>
      <w:bookmarkEnd w:id="219"/>
      <w:bookmarkEnd w:id="220"/>
    </w:p>
    <w:p>
      <w:pPr>
        <w:ind w:firstLine="480"/>
      </w:pPr>
      <w:r>
        <w:rPr>
          <w:rFonts w:hint="eastAsia"/>
        </w:rPr>
        <w:t>1.定义</w:t>
      </w:r>
    </w:p>
    <w:p>
      <w:pPr>
        <w:ind w:firstLine="480"/>
      </w:pPr>
      <w:r>
        <w:rPr>
          <w:rFonts w:hint="eastAsia"/>
        </w:rPr>
        <w:t>1.1甲方（需方）即采购人，是指通过招标采购，接受合同货物及服务的各级国家机关、事业单位和团体组织。</w:t>
      </w:r>
    </w:p>
    <w:p>
      <w:pPr>
        <w:ind w:firstLine="480"/>
      </w:pPr>
      <w:r>
        <w:rPr>
          <w:rFonts w:hint="eastAsia"/>
        </w:rPr>
        <w:t>1.2乙方（供方）即中标人，是指中标后提供合同货物和服务的自然人、法人及其他组织。</w:t>
      </w:r>
    </w:p>
    <w:p>
      <w:pPr>
        <w:ind w:firstLine="480"/>
      </w:pPr>
      <w:r>
        <w:rPr>
          <w:rFonts w:hint="eastAsia"/>
        </w:rPr>
        <w:t>1.3合同是指由甲乙双方按照招标文件和投标文件的实质性内容，通过协商一致达成的书面协议。</w:t>
      </w:r>
    </w:p>
    <w:p>
      <w:pPr>
        <w:ind w:firstLine="480"/>
      </w:pPr>
      <w:r>
        <w:rPr>
          <w:rFonts w:hint="eastAsia"/>
        </w:rPr>
        <w:t>1.4合同价格指以中标价格为依据，在供方全面履行合同义务后，需方（或财政部门）应支付给供方的金额。</w:t>
      </w:r>
    </w:p>
    <w:p>
      <w:pPr>
        <w:ind w:firstLine="480"/>
      </w:pPr>
      <w:r>
        <w:rPr>
          <w:rFonts w:hint="eastAsia"/>
        </w:rPr>
        <w:t>1.5技术资料是指合同货物及其相关的设计、制造、监造、检验、验收等文件（包括图纸、各种文字说明、标准）。</w:t>
      </w:r>
    </w:p>
    <w:p>
      <w:pPr>
        <w:ind w:firstLine="480"/>
      </w:pPr>
      <w:r>
        <w:rPr>
          <w:rFonts w:hint="eastAsia"/>
        </w:rPr>
        <w:t>2.货物内容</w:t>
      </w:r>
    </w:p>
    <w:p>
      <w:pPr>
        <w:ind w:firstLine="480"/>
      </w:pPr>
      <w:r>
        <w:rPr>
          <w:rFonts w:hint="eastAsia"/>
        </w:rPr>
        <w:t>合同包括以下内容：货物名称、型号规格、技术参数、数量（单位）等内容。</w:t>
      </w:r>
    </w:p>
    <w:p>
      <w:pPr>
        <w:ind w:firstLine="480"/>
      </w:pPr>
      <w:r>
        <w:rPr>
          <w:rFonts w:hint="eastAsia"/>
        </w:rPr>
        <w:t>3.合同价格</w:t>
      </w:r>
    </w:p>
    <w:p>
      <w:pPr>
        <w:ind w:firstLine="480"/>
      </w:pPr>
      <w:r>
        <w:rPr>
          <w:rFonts w:hint="eastAsia"/>
        </w:rPr>
        <w:t>3.1合同价格即合同总价。</w:t>
      </w:r>
    </w:p>
    <w:p>
      <w:pPr>
        <w:ind w:firstLine="480"/>
      </w:pPr>
      <w:r>
        <w:rPr>
          <w:rFonts w:hint="eastAsia"/>
        </w:rPr>
        <w:t>3.2合同价格包括合同货物、技术资料、合同货物的税费、运杂费、保险费、包装费、装卸费及与货物有关的供方应纳的税费，所有税费由乙方负担。</w:t>
      </w:r>
    </w:p>
    <w:p>
      <w:pPr>
        <w:ind w:firstLine="480"/>
      </w:pPr>
      <w:r>
        <w:rPr>
          <w:rFonts w:hint="eastAsia"/>
        </w:rPr>
        <w:t>3.3合同货物单价为不变价。</w:t>
      </w:r>
    </w:p>
    <w:p>
      <w:pPr>
        <w:ind w:firstLine="480"/>
      </w:pPr>
      <w:r>
        <w:rPr>
          <w:rFonts w:hint="eastAsia"/>
        </w:rPr>
        <w:t>4.转包或分包</w:t>
      </w:r>
    </w:p>
    <w:p>
      <w:pPr>
        <w:ind w:firstLine="480"/>
      </w:pPr>
      <w:r>
        <w:rPr>
          <w:rFonts w:hint="eastAsia"/>
        </w:rPr>
        <w:t>4.1本合同范围的货物，应由乙方直接供应，不得转让他人供应；</w:t>
      </w:r>
    </w:p>
    <w:p>
      <w:pPr>
        <w:ind w:firstLine="480"/>
      </w:pPr>
      <w:r>
        <w:rPr>
          <w:rFonts w:hint="eastAsia"/>
        </w:rPr>
        <w:t>4.2非经甲方书面同意，乙方不得将本合同范围的货物全部或部分分包给他人供应；</w:t>
      </w:r>
    </w:p>
    <w:p>
      <w:pPr>
        <w:ind w:firstLine="480"/>
      </w:pPr>
      <w:r>
        <w:rPr>
          <w:rFonts w:hint="eastAsia"/>
        </w:rPr>
        <w:t>4.3如有转让和未经甲方同意的分包行为，甲方有权解除合同，没收履约保证金并追究乙方的违约责任。</w:t>
      </w:r>
    </w:p>
    <w:p>
      <w:pPr>
        <w:ind w:firstLine="480"/>
      </w:pPr>
      <w:r>
        <w:rPr>
          <w:rFonts w:hint="eastAsia"/>
        </w:rPr>
        <w:t>5.质量保证及售后服务</w:t>
      </w:r>
    </w:p>
    <w:p>
      <w:pPr>
        <w:ind w:firstLine="480"/>
      </w:pPr>
      <w:r>
        <w:rPr>
          <w:rFonts w:hint="eastAsia"/>
        </w:rPr>
        <w:t>5.1乙方应按招标文件规定的货物性能、技术要求、质量标准向甲方提供未经使用的全新产品。</w:t>
      </w:r>
    </w:p>
    <w:p>
      <w:pPr>
        <w:ind w:firstLine="480"/>
      </w:pPr>
      <w:r>
        <w:rPr>
          <w:rFonts w:hint="eastAsia"/>
        </w:rPr>
        <w:t>5.2乙方提供的货物在质保期内因货物本身的质量问题发生故障，乙方应负责免费更换。对达不到技术要求者，根据实际情况，经双方协商，可按以下办法处理：</w:t>
      </w:r>
    </w:p>
    <w:p>
      <w:pPr>
        <w:ind w:firstLine="480"/>
      </w:pPr>
      <w:r>
        <w:rPr>
          <w:rFonts w:hint="eastAsia"/>
        </w:rPr>
        <w:t>5.2.1更换：由乙方承担所发生的全部费用。</w:t>
      </w:r>
    </w:p>
    <w:p>
      <w:pPr>
        <w:ind w:firstLine="480"/>
      </w:pPr>
      <w:r>
        <w:rPr>
          <w:rFonts w:hint="eastAsia"/>
        </w:rPr>
        <w:t>5.2.2贬值处理：由甲乙双方合议定价。</w:t>
      </w:r>
    </w:p>
    <w:p>
      <w:pPr>
        <w:ind w:firstLine="480"/>
      </w:pPr>
      <w:r>
        <w:rPr>
          <w:rFonts w:hint="eastAsia"/>
        </w:rPr>
        <w:t>5.2.3退货处理：乙方应退还甲方支付的合同款，同时应承担该货物的直接费用（运输、保险、检验、</w:t>
      </w:r>
      <w:r>
        <w:rPr>
          <w:rFonts w:hint="eastAsia"/>
          <w:lang w:eastAsia="zh-CN"/>
        </w:rPr>
        <w:t>贷款利息</w:t>
      </w:r>
      <w:r>
        <w:rPr>
          <w:rFonts w:hint="eastAsia"/>
        </w:rPr>
        <w:t>及银行手续费等）。</w:t>
      </w:r>
    </w:p>
    <w:p>
      <w:pPr>
        <w:ind w:firstLine="480"/>
      </w:pPr>
      <w:r>
        <w:rPr>
          <w:rFonts w:hint="eastAsia"/>
        </w:rPr>
        <w:t>5.3如在使用过程中发生质量问题，乙方应按本项目“第三篇 项目商务需求”中的要求处理。</w:t>
      </w:r>
    </w:p>
    <w:p>
      <w:pPr>
        <w:ind w:firstLine="480"/>
      </w:pPr>
      <w:r>
        <w:rPr>
          <w:rFonts w:hint="eastAsia"/>
        </w:rPr>
        <w:t>5.4在质保期内，乙方应对货物出现的质量及安全问题负责处理解决并承担一切费用。</w:t>
      </w:r>
    </w:p>
    <w:p>
      <w:pPr>
        <w:ind w:firstLine="480"/>
      </w:pPr>
      <w:r>
        <w:rPr>
          <w:rFonts w:hint="eastAsia"/>
        </w:rPr>
        <w:t>5.5 如甲方要求乙方提供履约保证金的，履约保证金的收取和退还应按本项目“第三篇 项目商务需求”中的要求处理。</w:t>
      </w:r>
    </w:p>
    <w:p>
      <w:pPr>
        <w:ind w:firstLine="480"/>
      </w:pPr>
      <w:r>
        <w:rPr>
          <w:rFonts w:hint="eastAsia"/>
        </w:rPr>
        <w:t>6.付款</w:t>
      </w:r>
    </w:p>
    <w:p>
      <w:pPr>
        <w:ind w:firstLine="480"/>
      </w:pPr>
      <w:r>
        <w:rPr>
          <w:rFonts w:hint="eastAsia"/>
        </w:rPr>
        <w:t>6.1本合同使用货币币制如未作特别说明均为人民币。</w:t>
      </w:r>
    </w:p>
    <w:p>
      <w:pPr>
        <w:ind w:firstLine="480"/>
      </w:pPr>
      <w:r>
        <w:rPr>
          <w:rFonts w:hint="eastAsia"/>
        </w:rPr>
        <w:t>6.2付款方式：银行转账、现金支票。</w:t>
      </w:r>
    </w:p>
    <w:p>
      <w:pPr>
        <w:ind w:firstLine="480"/>
      </w:pPr>
      <w:r>
        <w:rPr>
          <w:rFonts w:hint="eastAsia"/>
        </w:rPr>
        <w:t>6.3付款方法：同本项目“第三篇 商务条款”中关于付款方式的约定。</w:t>
      </w:r>
    </w:p>
    <w:p>
      <w:pPr>
        <w:ind w:firstLine="480"/>
      </w:pPr>
      <w:r>
        <w:rPr>
          <w:rFonts w:hint="eastAsia"/>
        </w:rPr>
        <w:t>7.检查验收</w:t>
      </w:r>
    </w:p>
    <w:p>
      <w:pPr>
        <w:ind w:firstLine="480"/>
      </w:pPr>
      <w:r>
        <w:rPr>
          <w:rFonts w:hint="eastAsia"/>
        </w:rPr>
        <w:t>7.1供方应随货物提供合格证和质量证明文件，如是国外进口的货物还须提供入关证明。</w:t>
      </w:r>
    </w:p>
    <w:p>
      <w:pPr>
        <w:ind w:firstLine="480"/>
      </w:pPr>
      <w:r>
        <w:rPr>
          <w:rFonts w:hint="eastAsia"/>
        </w:rPr>
        <w:t>7.2货物验收</w:t>
      </w:r>
    </w:p>
    <w:p>
      <w:pPr>
        <w:ind w:firstLine="480"/>
      </w:pPr>
      <w:r>
        <w:rPr>
          <w:rFonts w:hint="eastAsia"/>
        </w:rPr>
        <w:t>供方所交货物的各种质量指标不得低于供方提供样品的质量指标（无样品时按供方的投标时提供的“技术文件”执行），售后服务质量要求按照招标文件和投标文件的内容执行。供方交货时，需方可根据需要随机抽取一部分货物送有关权威检测部门检测，如检测不合格，供方负责赔偿需方一切损失。</w:t>
      </w:r>
    </w:p>
    <w:p>
      <w:pPr>
        <w:ind w:firstLine="480"/>
      </w:pPr>
      <w:r>
        <w:rPr>
          <w:rFonts w:hint="eastAsia"/>
        </w:rPr>
        <w:t>7.3货物验收报告应由需方、供方经办人签字，并加盖双方公章，以此作为支付凭据。</w:t>
      </w:r>
    </w:p>
    <w:p>
      <w:pPr>
        <w:ind w:firstLine="480"/>
      </w:pPr>
      <w:r>
        <w:rPr>
          <w:rFonts w:hint="eastAsia"/>
        </w:rPr>
        <w:t>8.索赔</w:t>
      </w:r>
    </w:p>
    <w:p>
      <w:pPr>
        <w:ind w:firstLine="480"/>
      </w:pPr>
      <w:r>
        <w:rPr>
          <w:rFonts w:hint="eastAsia"/>
        </w:rPr>
        <w:t>供方对货物与合同要求不符负有责任，并且需方已于规定交货内和质量保证期内提出索赔，供方应按需方同意的下述一种或多种方法解决索赔事宜。</w:t>
      </w:r>
    </w:p>
    <w:p>
      <w:pPr>
        <w:ind w:firstLine="480"/>
      </w:pPr>
      <w:r>
        <w:rPr>
          <w:rFonts w:hint="eastAsia"/>
        </w:rPr>
        <w:t>8.1供方同意需方拒收货物并把拒收货物的金额以合同规定的同类货币付给需方，供方负担发生的一切损失和费用，包括利息、运输和保险费、检验费、仓储和装卸费以及为保管和保护被拒绝货物所需要</w:t>
      </w:r>
      <w:r>
        <w:rPr>
          <w:rFonts w:hint="eastAsia"/>
          <w:lang w:eastAsia="zh-CN"/>
        </w:rPr>
        <w:t>的其他</w:t>
      </w:r>
      <w:r>
        <w:rPr>
          <w:rFonts w:hint="eastAsia"/>
        </w:rPr>
        <w:t>必要费用。</w:t>
      </w:r>
    </w:p>
    <w:p>
      <w:pPr>
        <w:ind w:firstLine="480"/>
      </w:pPr>
      <w:r>
        <w:rPr>
          <w:rFonts w:hint="eastAsia"/>
        </w:rPr>
        <w:t>8.2根据货物的疵劣和受损程度以及需方遭受损失的金额，经双方同意降低货物价格。</w:t>
      </w:r>
    </w:p>
    <w:p>
      <w:pPr>
        <w:ind w:firstLine="480"/>
      </w:pPr>
      <w:r>
        <w:rPr>
          <w:rFonts w:hint="eastAsia"/>
        </w:rPr>
        <w:t>9.知识产权</w:t>
      </w:r>
    </w:p>
    <w:p>
      <w:pPr>
        <w:ind w:firstLine="480"/>
      </w:pPr>
      <w:r>
        <w:rPr>
          <w:rFonts w:hint="eastAsia"/>
        </w:rPr>
        <w:t>甲方在中华人民共和国境内使用乙方提供的货物及服务时免受第三方提出的侵犯其专利权</w:t>
      </w:r>
      <w:r>
        <w:rPr>
          <w:rFonts w:hint="eastAsia"/>
          <w:lang w:eastAsia="zh-CN"/>
        </w:rPr>
        <w:t>或其他</w:t>
      </w:r>
      <w:r>
        <w:rPr>
          <w:rFonts w:hint="eastAsia"/>
        </w:rPr>
        <w:t>知识产权的起诉。如果第三方提出侵权指控，乙方应承担由此而引起的一切法律责任和费用。</w:t>
      </w:r>
    </w:p>
    <w:p>
      <w:pPr>
        <w:ind w:firstLine="480"/>
      </w:pPr>
      <w:r>
        <w:rPr>
          <w:rFonts w:hint="eastAsia"/>
        </w:rPr>
        <w:t>10.合同争议的解决</w:t>
      </w:r>
    </w:p>
    <w:p>
      <w:pPr>
        <w:ind w:firstLine="480"/>
      </w:pPr>
      <w:r>
        <w:rPr>
          <w:rFonts w:hint="eastAsia"/>
        </w:rPr>
        <w:t>10.1当事人友好协商达成一致</w:t>
      </w:r>
    </w:p>
    <w:p>
      <w:pPr>
        <w:ind w:firstLine="480"/>
      </w:pPr>
      <w:r>
        <w:rPr>
          <w:rFonts w:hint="eastAsia"/>
        </w:rPr>
        <w:t>10.2在60天内当事人协商不能达成协议的，可提请采购人当地仲裁机构仲裁。</w:t>
      </w:r>
    </w:p>
    <w:p>
      <w:pPr>
        <w:ind w:firstLine="480"/>
      </w:pPr>
      <w:r>
        <w:rPr>
          <w:rFonts w:hint="eastAsia"/>
        </w:rPr>
        <w:t>11.违约责任</w:t>
      </w:r>
    </w:p>
    <w:p>
      <w:pPr>
        <w:ind w:firstLine="480"/>
      </w:pPr>
      <w:r>
        <w:rPr>
          <w:rFonts w:hint="eastAsia"/>
        </w:rPr>
        <w:t>按《中华人民共和国民法典》、《中华人民共和国政府采购法》有关条款，或由供需双方约定。</w:t>
      </w:r>
    </w:p>
    <w:p>
      <w:pPr>
        <w:ind w:firstLine="480"/>
      </w:pPr>
      <w:r>
        <w:rPr>
          <w:rFonts w:hint="eastAsia"/>
        </w:rPr>
        <w:t>12.合同生效及其它</w:t>
      </w:r>
    </w:p>
    <w:p>
      <w:pPr>
        <w:ind w:firstLine="480"/>
      </w:pPr>
      <w:r>
        <w:rPr>
          <w:rFonts w:hint="eastAsia"/>
        </w:rPr>
        <w:t>12.1合同生效及其效力应符合《中华人民共和国民法典》有关规定。</w:t>
      </w:r>
    </w:p>
    <w:p>
      <w:pPr>
        <w:ind w:firstLine="480"/>
      </w:pPr>
      <w:r>
        <w:rPr>
          <w:rFonts w:hint="eastAsia"/>
        </w:rPr>
        <w:t>12.2合同应经当事人法定代表人或委托代理人签字，加盖双方合同专用章或公章。</w:t>
      </w:r>
    </w:p>
    <w:p>
      <w:pPr>
        <w:ind w:firstLine="480"/>
      </w:pPr>
      <w:r>
        <w:rPr>
          <w:rFonts w:hint="eastAsia"/>
        </w:rPr>
        <w:t>12.3合同所包括附件，是合同不可分割的一部分，具有</w:t>
      </w:r>
      <w:r>
        <w:rPr>
          <w:rFonts w:hint="eastAsia"/>
          <w:lang w:eastAsia="zh-CN"/>
        </w:rPr>
        <w:t>同等法律效力</w:t>
      </w:r>
      <w:r>
        <w:rPr>
          <w:rFonts w:hint="eastAsia"/>
        </w:rPr>
        <w:t>。</w:t>
      </w:r>
    </w:p>
    <w:p>
      <w:pPr>
        <w:ind w:firstLine="480"/>
      </w:pPr>
      <w:r>
        <w:rPr>
          <w:rFonts w:hint="eastAsia"/>
        </w:rPr>
        <w:t>12.4本合同条件未尽事宜依照《中华人民共和国民法典》，由供需双方共同协商确定。</w:t>
      </w:r>
    </w:p>
    <w:p>
      <w:pPr>
        <w:ind w:firstLine="480"/>
      </w:pPr>
      <w:r>
        <w:br w:type="page"/>
      </w:r>
    </w:p>
    <w:p>
      <w:pPr>
        <w:pStyle w:val="4"/>
      </w:pPr>
      <w:bookmarkStart w:id="221" w:name="_Toc24401"/>
      <w:bookmarkStart w:id="222" w:name="_Toc19419"/>
      <w:bookmarkStart w:id="223" w:name="_Toc28766"/>
      <w:bookmarkStart w:id="224" w:name="_Toc19046"/>
      <w:bookmarkStart w:id="225" w:name="_Toc13054"/>
      <w:bookmarkStart w:id="226" w:name="_Toc32200"/>
      <w:bookmarkStart w:id="227" w:name="_Toc15020"/>
      <w:bookmarkStart w:id="228" w:name="_Toc285722713"/>
      <w:bookmarkStart w:id="229" w:name="_Toc277084871"/>
      <w:bookmarkStart w:id="230" w:name="_Toc76373906"/>
      <w:bookmarkStart w:id="231" w:name="_Toc123227067"/>
      <w:r>
        <w:rPr>
          <w:rFonts w:hint="eastAsia"/>
        </w:rPr>
        <w:t>二、政府采购合同（格式）</w:t>
      </w:r>
      <w:bookmarkEnd w:id="221"/>
      <w:bookmarkEnd w:id="222"/>
      <w:bookmarkEnd w:id="223"/>
      <w:bookmarkEnd w:id="224"/>
      <w:bookmarkEnd w:id="225"/>
      <w:bookmarkEnd w:id="226"/>
      <w:bookmarkEnd w:id="227"/>
      <w:bookmarkEnd w:id="228"/>
      <w:bookmarkEnd w:id="229"/>
      <w:bookmarkEnd w:id="230"/>
      <w:bookmarkEnd w:id="231"/>
    </w:p>
    <w:p>
      <w:pPr>
        <w:ind w:firstLine="480"/>
        <w:rPr>
          <w:szCs w:val="24"/>
        </w:rPr>
      </w:pPr>
    </w:p>
    <w:p>
      <w:pPr>
        <w:ind w:firstLine="480"/>
        <w:rPr>
          <w:szCs w:val="24"/>
        </w:rPr>
      </w:pPr>
      <w:r>
        <w:rPr>
          <w:rFonts w:hint="eastAsia"/>
          <w:szCs w:val="24"/>
        </w:rPr>
        <w:t>甲方：重庆工程职业技术学院（以下简称甲方）</w:t>
      </w:r>
    </w:p>
    <w:p>
      <w:pPr>
        <w:ind w:firstLine="480"/>
        <w:rPr>
          <w:szCs w:val="24"/>
        </w:rPr>
      </w:pPr>
      <w:r>
        <w:rPr>
          <w:rFonts w:hint="eastAsia"/>
          <w:szCs w:val="24"/>
        </w:rPr>
        <w:t>乙方：</w:t>
      </w:r>
      <w:r>
        <w:rPr>
          <w:rFonts w:hint="eastAsia"/>
          <w:kern w:val="0"/>
          <w:szCs w:val="24"/>
        </w:rPr>
        <w:t xml:space="preserve">                公司</w:t>
      </w:r>
      <w:r>
        <w:rPr>
          <w:rFonts w:hint="eastAsia"/>
          <w:szCs w:val="24"/>
        </w:rPr>
        <w:t>（以下简称乙方）</w:t>
      </w:r>
    </w:p>
    <w:p>
      <w:pPr>
        <w:widowControl/>
        <w:ind w:firstLine="480"/>
        <w:rPr>
          <w:kern w:val="0"/>
          <w:szCs w:val="24"/>
          <w:u w:val="single"/>
        </w:rPr>
      </w:pPr>
    </w:p>
    <w:p>
      <w:pPr>
        <w:widowControl/>
        <w:ind w:firstLine="480"/>
        <w:rPr>
          <w:kern w:val="0"/>
          <w:szCs w:val="24"/>
        </w:rPr>
      </w:pPr>
      <w:r>
        <w:rPr>
          <w:rFonts w:hint="eastAsia"/>
          <w:kern w:val="0"/>
          <w:szCs w:val="24"/>
        </w:rPr>
        <w:t>甲乙双方本着互利互惠、共同发展的原则，根据《中华人民共和国民法典》及相关规定，经友好协商，就校园共享电动自行车运营服务项目的有关事宜达成如下合同并共同遵守。</w:t>
      </w:r>
    </w:p>
    <w:p>
      <w:pPr>
        <w:widowControl/>
        <w:ind w:firstLine="482"/>
        <w:rPr>
          <w:b/>
          <w:bCs/>
          <w:kern w:val="0"/>
          <w:szCs w:val="24"/>
        </w:rPr>
      </w:pPr>
      <w:r>
        <w:rPr>
          <w:rFonts w:hint="eastAsia"/>
          <w:b/>
          <w:bCs/>
          <w:kern w:val="0"/>
          <w:szCs w:val="24"/>
        </w:rPr>
        <w:t>第一章 项目内容</w:t>
      </w:r>
    </w:p>
    <w:p>
      <w:pPr>
        <w:widowControl/>
        <w:ind w:firstLine="482"/>
        <w:rPr>
          <w:kern w:val="0"/>
          <w:szCs w:val="24"/>
        </w:rPr>
      </w:pPr>
      <w:r>
        <w:rPr>
          <w:rFonts w:hint="eastAsia"/>
          <w:b/>
          <w:bCs/>
          <w:kern w:val="0"/>
          <w:szCs w:val="24"/>
        </w:rPr>
        <w:t xml:space="preserve">第一条 </w:t>
      </w:r>
      <w:r>
        <w:rPr>
          <w:rFonts w:hint="eastAsia"/>
          <w:kern w:val="0"/>
          <w:szCs w:val="24"/>
        </w:rPr>
        <w:t>乙方自行出资购买全新车辆和充电设备为甲方提供校园共享电动自行车的有偿服务，并不得分包或转租。</w:t>
      </w:r>
    </w:p>
    <w:p>
      <w:pPr>
        <w:widowControl/>
        <w:ind w:firstLine="482"/>
        <w:rPr>
          <w:kern w:val="0"/>
          <w:szCs w:val="24"/>
        </w:rPr>
      </w:pPr>
      <w:r>
        <w:rPr>
          <w:rFonts w:hint="eastAsia"/>
          <w:b/>
          <w:bCs/>
          <w:kern w:val="0"/>
          <w:szCs w:val="24"/>
        </w:rPr>
        <w:t xml:space="preserve">第二条 </w:t>
      </w:r>
      <w:r>
        <w:rPr>
          <w:rFonts w:hint="eastAsia"/>
          <w:kern w:val="0"/>
          <w:szCs w:val="24"/>
        </w:rPr>
        <w:t>乙方为甲方第一年提供投入全新的共享电动自行车200辆。若车辆不能完全满足师生出行，甲方可与乙方沟通，适时增加车辆。未经甲方书面同意，乙方不得擅自增加。</w:t>
      </w:r>
    </w:p>
    <w:p>
      <w:pPr>
        <w:widowControl/>
        <w:ind w:firstLine="482"/>
        <w:rPr>
          <w:kern w:val="0"/>
          <w:szCs w:val="24"/>
        </w:rPr>
      </w:pPr>
      <w:r>
        <w:rPr>
          <w:rFonts w:hint="eastAsia"/>
          <w:b/>
          <w:bCs/>
          <w:kern w:val="0"/>
          <w:szCs w:val="24"/>
        </w:rPr>
        <w:t xml:space="preserve">第三条 </w:t>
      </w:r>
      <w:r>
        <w:rPr>
          <w:rFonts w:hint="eastAsia"/>
          <w:kern w:val="0"/>
          <w:szCs w:val="24"/>
        </w:rPr>
        <w:t>本合同自202 年  月  日起至   年  月   日止。合同期满后本合同自动终止，乙方应终止校园交通服务并在10个工作日内无条件撤场。</w:t>
      </w:r>
    </w:p>
    <w:p>
      <w:pPr>
        <w:widowControl/>
        <w:ind w:firstLine="482"/>
        <w:rPr>
          <w:b/>
          <w:bCs/>
          <w:kern w:val="0"/>
          <w:szCs w:val="24"/>
        </w:rPr>
      </w:pPr>
      <w:r>
        <w:rPr>
          <w:rFonts w:hint="eastAsia"/>
          <w:b/>
          <w:bCs/>
          <w:kern w:val="0"/>
          <w:szCs w:val="24"/>
        </w:rPr>
        <w:t>第二章 费用事宜</w:t>
      </w:r>
    </w:p>
    <w:p>
      <w:pPr>
        <w:widowControl/>
        <w:ind w:firstLine="482"/>
        <w:rPr>
          <w:kern w:val="0"/>
          <w:szCs w:val="24"/>
        </w:rPr>
      </w:pPr>
      <w:r>
        <w:rPr>
          <w:rFonts w:hint="eastAsia"/>
          <w:b/>
          <w:bCs/>
          <w:kern w:val="0"/>
          <w:szCs w:val="24"/>
        </w:rPr>
        <w:t xml:space="preserve">第四条 </w:t>
      </w:r>
      <w:r>
        <w:rPr>
          <w:rFonts w:hint="eastAsia"/>
          <w:kern w:val="0"/>
          <w:szCs w:val="24"/>
        </w:rPr>
        <w:t>乘车价格</w:t>
      </w:r>
    </w:p>
    <w:p>
      <w:pPr>
        <w:widowControl/>
        <w:ind w:firstLine="480"/>
        <w:rPr>
          <w:kern w:val="0"/>
          <w:szCs w:val="24"/>
        </w:rPr>
      </w:pPr>
      <w:r>
        <w:rPr>
          <w:rFonts w:hint="eastAsia"/>
          <w:kern w:val="0"/>
          <w:szCs w:val="24"/>
        </w:rPr>
        <w:t>1.收费方式：微信扫码支付</w:t>
      </w:r>
    </w:p>
    <w:p>
      <w:pPr>
        <w:widowControl/>
        <w:ind w:firstLine="480"/>
        <w:rPr>
          <w:kern w:val="0"/>
          <w:szCs w:val="24"/>
        </w:rPr>
      </w:pPr>
      <w:r>
        <w:rPr>
          <w:rFonts w:hint="eastAsia"/>
          <w:kern w:val="0"/>
          <w:szCs w:val="24"/>
        </w:rPr>
        <w:t>2.收费标准：</w:t>
      </w:r>
    </w:p>
    <w:tbl>
      <w:tblPr>
        <w:tblStyle w:val="20"/>
        <w:tblW w:w="8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38"/>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238" w:type="dxa"/>
            <w:tcBorders>
              <w:top w:val="single" w:color="auto" w:sz="4" w:space="0"/>
              <w:left w:val="single" w:color="auto" w:sz="4" w:space="0"/>
              <w:right w:val="single" w:color="auto" w:sz="4" w:space="0"/>
            </w:tcBorders>
            <w:vAlign w:val="center"/>
          </w:tcPr>
          <w:p>
            <w:pPr>
              <w:widowControl/>
              <w:ind w:firstLine="480"/>
              <w:jc w:val="center"/>
              <w:rPr>
                <w:kern w:val="0"/>
                <w:szCs w:val="24"/>
              </w:rPr>
            </w:pPr>
            <w:r>
              <w:rPr>
                <w:rFonts w:hint="eastAsia"/>
                <w:kern w:val="0"/>
                <w:szCs w:val="24"/>
              </w:rPr>
              <w:t>项目名称</w:t>
            </w:r>
          </w:p>
        </w:tc>
        <w:tc>
          <w:tcPr>
            <w:tcW w:w="5040" w:type="dxa"/>
            <w:tcBorders>
              <w:top w:val="single" w:color="auto" w:sz="4" w:space="0"/>
              <w:left w:val="single" w:color="auto" w:sz="4" w:space="0"/>
              <w:right w:val="single" w:color="auto" w:sz="4" w:space="0"/>
            </w:tcBorders>
            <w:vAlign w:val="center"/>
          </w:tcPr>
          <w:p>
            <w:pPr>
              <w:widowControl/>
              <w:ind w:firstLine="480"/>
              <w:jc w:val="center"/>
              <w:rPr>
                <w:kern w:val="0"/>
                <w:szCs w:val="24"/>
              </w:rPr>
            </w:pPr>
            <w:r>
              <w:rPr>
                <w:rFonts w:hint="eastAsia"/>
                <w:kern w:val="0"/>
                <w:szCs w:val="24"/>
                <w:lang w:val="en-US" w:eastAsia="zh-CN"/>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238"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kern w:val="0"/>
                <w:szCs w:val="24"/>
              </w:rPr>
            </w:pPr>
            <w:r>
              <w:rPr>
                <w:rFonts w:hint="eastAsia"/>
                <w:kern w:val="0"/>
                <w:szCs w:val="24"/>
              </w:rPr>
              <w:t>共享电动自行车运营</w:t>
            </w:r>
          </w:p>
        </w:tc>
        <w:tc>
          <w:tcPr>
            <w:tcW w:w="5040" w:type="dxa"/>
            <w:tcBorders>
              <w:top w:val="single" w:color="auto" w:sz="4" w:space="0"/>
              <w:left w:val="single" w:color="auto" w:sz="4" w:space="0"/>
              <w:bottom w:val="single" w:color="auto" w:sz="4" w:space="0"/>
              <w:right w:val="single" w:color="auto" w:sz="4" w:space="0"/>
            </w:tcBorders>
            <w:vAlign w:val="center"/>
          </w:tcPr>
          <w:p>
            <w:pPr>
              <w:widowControl/>
              <w:ind w:firstLine="480"/>
              <w:jc w:val="center"/>
              <w:rPr>
                <w:kern w:val="0"/>
                <w:szCs w:val="24"/>
              </w:rPr>
            </w:pPr>
            <w:r>
              <w:rPr>
                <w:rFonts w:hint="eastAsia"/>
                <w:kern w:val="0"/>
                <w:szCs w:val="24"/>
                <w:u w:val="single"/>
              </w:rPr>
              <w:t xml:space="preserve">     </w:t>
            </w:r>
            <w:r>
              <w:rPr>
                <w:rFonts w:hint="eastAsia"/>
                <w:kern w:val="0"/>
                <w:szCs w:val="24"/>
              </w:rPr>
              <w:t>元/</w:t>
            </w:r>
            <w:r>
              <w:rPr>
                <w:rFonts w:hint="eastAsia"/>
                <w:kern w:val="0"/>
                <w:szCs w:val="24"/>
                <w:lang w:val="en-US" w:eastAsia="zh-CN"/>
              </w:rPr>
              <w:t>20</w:t>
            </w:r>
            <w:r>
              <w:rPr>
                <w:rFonts w:hint="eastAsia"/>
                <w:kern w:val="0"/>
                <w:szCs w:val="24"/>
              </w:rPr>
              <w:t>分钟</w:t>
            </w:r>
          </w:p>
        </w:tc>
      </w:tr>
    </w:tbl>
    <w:p>
      <w:pPr>
        <w:widowControl/>
        <w:ind w:firstLine="482"/>
        <w:rPr>
          <w:kern w:val="0"/>
          <w:szCs w:val="24"/>
        </w:rPr>
      </w:pPr>
      <w:r>
        <w:rPr>
          <w:rFonts w:hint="eastAsia"/>
          <w:b/>
          <w:bCs/>
          <w:kern w:val="0"/>
          <w:szCs w:val="24"/>
        </w:rPr>
        <w:t xml:space="preserve">第五条 </w:t>
      </w:r>
      <w:r>
        <w:rPr>
          <w:rFonts w:hint="eastAsia"/>
          <w:kern w:val="0"/>
          <w:szCs w:val="24"/>
        </w:rPr>
        <w:t>场地资源占用费费用</w:t>
      </w:r>
    </w:p>
    <w:p>
      <w:pPr>
        <w:widowControl/>
        <w:ind w:firstLine="480"/>
        <w:rPr>
          <w:kern w:val="0"/>
          <w:szCs w:val="24"/>
        </w:rPr>
      </w:pPr>
      <w:r>
        <w:rPr>
          <w:rFonts w:hint="eastAsia"/>
          <w:kern w:val="0"/>
          <w:szCs w:val="24"/>
        </w:rPr>
        <w:t>采购人合同期内不收取成交供应商相应场地资源占用费等费用，但经营性质为自负盈亏。</w:t>
      </w:r>
    </w:p>
    <w:p>
      <w:pPr>
        <w:widowControl/>
        <w:ind w:firstLine="482"/>
        <w:rPr>
          <w:kern w:val="0"/>
          <w:szCs w:val="24"/>
        </w:rPr>
      </w:pPr>
      <w:r>
        <w:rPr>
          <w:rFonts w:hint="eastAsia"/>
          <w:b/>
          <w:bCs/>
          <w:kern w:val="0"/>
          <w:szCs w:val="24"/>
        </w:rPr>
        <w:t xml:space="preserve">第六条 </w:t>
      </w:r>
      <w:r>
        <w:rPr>
          <w:rFonts w:hint="eastAsia"/>
          <w:kern w:val="0"/>
          <w:szCs w:val="24"/>
        </w:rPr>
        <w:t>履约保证金</w:t>
      </w:r>
    </w:p>
    <w:p>
      <w:pPr>
        <w:widowControl/>
        <w:ind w:firstLine="480"/>
        <w:rPr>
          <w:kern w:val="0"/>
          <w:szCs w:val="24"/>
        </w:rPr>
      </w:pPr>
      <w:r>
        <w:rPr>
          <w:rFonts w:hint="eastAsia"/>
          <w:kern w:val="0"/>
          <w:szCs w:val="24"/>
        </w:rPr>
        <w:t>1.在本合同签订前，乙方应向甲方缴纳￥10万元（人民币壹拾万元整）的履约保证金。该履约保证金的使用范围包括但不限于因乙方的行为导致相关方利益受到损害时，相关方能得到及时、妥善、足额的赔偿，以及因乙方具有本条1.</w:t>
      </w:r>
      <w:r>
        <w:rPr>
          <w:rFonts w:hint="eastAsia"/>
          <w:kern w:val="0"/>
          <w:szCs w:val="24"/>
          <w:lang w:eastAsia="zh-CN"/>
        </w:rPr>
        <w:t>两款</w:t>
      </w:r>
      <w:r>
        <w:rPr>
          <w:rFonts w:hint="eastAsia"/>
          <w:kern w:val="0"/>
          <w:szCs w:val="24"/>
        </w:rPr>
        <w:t>行为时，甲方可以直接扣除违约金。</w:t>
      </w:r>
    </w:p>
    <w:p>
      <w:pPr>
        <w:ind w:firstLine="480"/>
        <w:rPr>
          <w:szCs w:val="24"/>
        </w:rPr>
      </w:pPr>
      <w:r>
        <w:rPr>
          <w:rFonts w:hint="eastAsia"/>
          <w:kern w:val="0"/>
          <w:szCs w:val="24"/>
        </w:rPr>
        <w:t>1.1合</w:t>
      </w:r>
      <w:r>
        <w:rPr>
          <w:rFonts w:hint="eastAsia"/>
          <w:szCs w:val="24"/>
        </w:rPr>
        <w:t>同执行期间，甲方服务车辆必须依法管理和行驶，如造成交通事故或乘客损害、行人损害以及其他财物损失的，由乙方承担所有赔偿责任以及相应的其他法律责任。</w:t>
      </w:r>
    </w:p>
    <w:p>
      <w:pPr>
        <w:ind w:firstLine="480"/>
        <w:rPr>
          <w:szCs w:val="24"/>
        </w:rPr>
      </w:pPr>
      <w:r>
        <w:rPr>
          <w:rFonts w:hint="eastAsia"/>
          <w:szCs w:val="24"/>
        </w:rPr>
        <w:t>1.2乙方应服从甲方的管理和接受全校师生员工的监督，如有下列行为，乙方应承担相应的违约责任：</w:t>
      </w:r>
    </w:p>
    <w:p>
      <w:pPr>
        <w:ind w:firstLine="480"/>
        <w:rPr>
          <w:szCs w:val="24"/>
        </w:rPr>
      </w:pPr>
      <w:r>
        <w:rPr>
          <w:szCs w:val="24"/>
        </w:rPr>
        <w:t>(1)</w:t>
      </w:r>
      <w:r>
        <w:rPr>
          <w:rFonts w:hint="eastAsia"/>
          <w:szCs w:val="24"/>
        </w:rPr>
        <w:t>严禁故障电动自行车投放。成交供应商应定期对所有车辆进行保养维护并做好记录，故障电动自行车不得投放运行，如有违反扣款200元/次。</w:t>
      </w:r>
    </w:p>
    <w:p>
      <w:pPr>
        <w:ind w:firstLine="480"/>
        <w:rPr>
          <w:szCs w:val="24"/>
        </w:rPr>
      </w:pPr>
      <w:r>
        <w:rPr>
          <w:szCs w:val="24"/>
        </w:rPr>
        <w:t>(2)</w:t>
      </w:r>
      <w:r>
        <w:rPr>
          <w:rFonts w:hint="eastAsia"/>
          <w:szCs w:val="24"/>
        </w:rPr>
        <w:t>响应速度。项目运行过程中，成交供应商的工作人员应在10分钟内响应所有问题，及时到达现场解决问题。如有违反扣款200元/次。</w:t>
      </w:r>
    </w:p>
    <w:p>
      <w:pPr>
        <w:ind w:firstLine="480"/>
        <w:rPr>
          <w:szCs w:val="24"/>
        </w:rPr>
      </w:pPr>
      <w:r>
        <w:rPr>
          <w:szCs w:val="24"/>
        </w:rPr>
        <w:t>(3)</w:t>
      </w:r>
      <w:r>
        <w:rPr>
          <w:rFonts w:hint="eastAsia"/>
          <w:szCs w:val="24"/>
        </w:rPr>
        <w:t>服务态度。成交供应商在项目运行过程中，所有工作人员须保持文明服务，礼貌待人，不能说脏话，不能有态度恶劣行为,违者扣款50元/次。</w:t>
      </w:r>
    </w:p>
    <w:p>
      <w:pPr>
        <w:ind w:firstLine="480"/>
        <w:rPr>
          <w:szCs w:val="24"/>
        </w:rPr>
      </w:pPr>
      <w:r>
        <w:rPr>
          <w:szCs w:val="24"/>
        </w:rPr>
        <w:t>(4)</w:t>
      </w:r>
      <w:r>
        <w:rPr>
          <w:rFonts w:hint="eastAsia"/>
          <w:szCs w:val="24"/>
        </w:rPr>
        <w:t>采购人有权对成交供应商共享电动自行车车况进行例行检查，如有问题则书面通知成交供应商整改。成交供应商必须立即进行整改，整改完毕应及时向采购人管理人员申请，同意后方可运行，违者扣款200元/次。</w:t>
      </w:r>
    </w:p>
    <w:p>
      <w:pPr>
        <w:ind w:firstLine="480"/>
        <w:rPr>
          <w:szCs w:val="24"/>
        </w:rPr>
      </w:pPr>
      <w:r>
        <w:rPr>
          <w:szCs w:val="24"/>
        </w:rPr>
        <w:t>(5)</w:t>
      </w:r>
      <w:r>
        <w:rPr>
          <w:rFonts w:hint="eastAsia"/>
          <w:szCs w:val="24"/>
        </w:rPr>
        <w:t>以上处罚是采购人对成交供应商公司的处罚，扣款的法律性质是成交供应商支付给采购人的违约金；采购人收取违约金后，应当向成交供应商开具正规收据。</w:t>
      </w:r>
    </w:p>
    <w:p>
      <w:pPr>
        <w:ind w:firstLine="480"/>
        <w:rPr>
          <w:rFonts w:hint="eastAsia"/>
          <w:highlight w:val="none"/>
          <w:lang w:val="en-US"/>
        </w:rPr>
      </w:pPr>
      <w:r>
        <w:rPr>
          <w:szCs w:val="24"/>
          <w:highlight w:val="none"/>
        </w:rPr>
        <w:t>(6)</w:t>
      </w:r>
      <w:r>
        <w:rPr>
          <w:rFonts w:hint="eastAsia"/>
          <w:szCs w:val="24"/>
          <w:highlight w:val="none"/>
        </w:rPr>
        <w:t>甲方每年对乙方的服务进行考核，即服务年限每满一年，由甲方管理部门进行年终考核，</w:t>
      </w:r>
      <w:r>
        <w:rPr>
          <w:rFonts w:hint="eastAsia"/>
          <w:highlight w:val="none"/>
        </w:rPr>
        <w:t>考核等级及履约保证金</w:t>
      </w:r>
      <w:r>
        <w:rPr>
          <w:rFonts w:hint="eastAsia"/>
          <w:highlight w:val="none"/>
          <w:lang w:val="en-US" w:eastAsia="zh-CN"/>
        </w:rPr>
        <w:t>的扣除如下：</w:t>
      </w:r>
    </w:p>
    <w:p>
      <w:pPr>
        <w:ind w:firstLine="480"/>
        <w:rPr>
          <w:rFonts w:hint="eastAsia" w:eastAsia="宋体"/>
          <w:highlight w:val="none"/>
          <w:lang w:eastAsia="zh-CN"/>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优秀：考核分</w:t>
      </w:r>
      <w:r>
        <w:rPr>
          <w:rFonts w:hint="default" w:ascii="Arial" w:hAnsi="Arial" w:cs="Arial"/>
          <w:highlight w:val="none"/>
        </w:rPr>
        <w:t>≥</w:t>
      </w:r>
      <w:r>
        <w:rPr>
          <w:rFonts w:hint="eastAsia" w:ascii="Arial" w:hAnsi="Arial" w:cs="Arial"/>
          <w:highlight w:val="none"/>
          <w:lang w:val="en-US" w:eastAsia="zh-CN"/>
        </w:rPr>
        <w:t>85分</w:t>
      </w:r>
      <w:r>
        <w:rPr>
          <w:rFonts w:hint="eastAsia"/>
          <w:highlight w:val="none"/>
          <w:lang w:val="en-US" w:eastAsia="zh-CN"/>
        </w:rPr>
        <w:t>，</w:t>
      </w:r>
      <w:r>
        <w:rPr>
          <w:rFonts w:hint="eastAsia"/>
          <w:highlight w:val="none"/>
        </w:rPr>
        <w:t>不扣履约保证金</w:t>
      </w:r>
      <w:r>
        <w:rPr>
          <w:rFonts w:hint="eastAsia"/>
          <w:highlight w:val="none"/>
          <w:lang w:eastAsia="zh-CN"/>
        </w:rPr>
        <w:t>。</w:t>
      </w:r>
    </w:p>
    <w:p>
      <w:pPr>
        <w:ind w:firstLine="48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良好：</w:t>
      </w:r>
      <w:r>
        <w:rPr>
          <w:rFonts w:hint="eastAsia"/>
          <w:highlight w:val="none"/>
          <w:lang w:val="en-US" w:eastAsia="zh-CN"/>
        </w:rPr>
        <w:t>75分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85分，</w:t>
      </w:r>
      <w:r>
        <w:rPr>
          <w:rFonts w:hint="eastAsia"/>
          <w:highlight w:val="none"/>
        </w:rPr>
        <w:t xml:space="preserve"> 扣履约保证金1万元，扣</w:t>
      </w:r>
      <w:r>
        <w:rPr>
          <w:rFonts w:hint="eastAsia"/>
          <w:highlight w:val="none"/>
          <w:lang w:val="en-US" w:eastAsia="zh-CN"/>
        </w:rPr>
        <w:t>除</w:t>
      </w:r>
      <w:r>
        <w:rPr>
          <w:rFonts w:hint="eastAsia"/>
          <w:highlight w:val="none"/>
        </w:rPr>
        <w:t>部分成交供应商在当年补齐。</w:t>
      </w:r>
    </w:p>
    <w:p>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合格：</w:t>
      </w:r>
      <w:r>
        <w:rPr>
          <w:rFonts w:hint="eastAsia"/>
          <w:highlight w:val="none"/>
          <w:lang w:val="en-US" w:eastAsia="zh-CN"/>
        </w:rPr>
        <w:t>60分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75分，</w:t>
      </w:r>
      <w:r>
        <w:rPr>
          <w:rFonts w:hint="eastAsia"/>
          <w:highlight w:val="none"/>
        </w:rPr>
        <w:t>扣履约保证金3万元，扣</w:t>
      </w:r>
      <w:r>
        <w:rPr>
          <w:rFonts w:hint="eastAsia"/>
          <w:highlight w:val="none"/>
          <w:lang w:val="en-US" w:eastAsia="zh-CN"/>
        </w:rPr>
        <w:t>除</w:t>
      </w:r>
      <w:r>
        <w:rPr>
          <w:rFonts w:hint="eastAsia"/>
          <w:highlight w:val="none"/>
        </w:rPr>
        <w:t>部分成交供应商在当年补齐。</w:t>
      </w:r>
    </w:p>
    <w:p>
      <w:pPr>
        <w:ind w:firstLine="480"/>
        <w:rPr>
          <w:rFonts w:hint="eastAsia"/>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不合格：考核分</w:t>
      </w:r>
      <w:r>
        <w:rPr>
          <w:rFonts w:hint="eastAsia" w:ascii="微软雅黑" w:hAnsi="微软雅黑" w:eastAsia="微软雅黑" w:cs="微软雅黑"/>
          <w:highlight w:val="none"/>
        </w:rPr>
        <w:t>&lt;</w:t>
      </w:r>
      <w:r>
        <w:rPr>
          <w:rFonts w:hint="eastAsia" w:eastAsia="微软雅黑"/>
          <w:highlight w:val="none"/>
          <w:lang w:val="en-US" w:eastAsia="zh-CN"/>
        </w:rPr>
        <w:t>60分</w:t>
      </w:r>
      <w:r>
        <w:rPr>
          <w:rFonts w:hint="eastAsia"/>
          <w:highlight w:val="none"/>
          <w:lang w:eastAsia="zh-CN"/>
        </w:rPr>
        <w:t>，</w:t>
      </w:r>
      <w:r>
        <w:rPr>
          <w:rFonts w:hint="eastAsia"/>
          <w:color w:val="000000" w:themeColor="text1"/>
          <w:highlight w:val="none"/>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书面通知成交供应商进行整改，如成交供应商不积极响应整改，采购人有权终止合同</w:t>
      </w:r>
      <w:r>
        <w:rPr>
          <w:rFonts w:hint="eastAsia"/>
          <w:highlight w:val="none"/>
        </w:rPr>
        <w:t>。</w:t>
      </w:r>
    </w:p>
    <w:p>
      <w:pPr>
        <w:widowControl/>
        <w:ind w:firstLine="480"/>
        <w:rPr>
          <w:kern w:val="0"/>
          <w:szCs w:val="24"/>
        </w:rPr>
      </w:pPr>
      <w:r>
        <w:rPr>
          <w:rFonts w:hint="eastAsia"/>
          <w:kern w:val="0"/>
          <w:szCs w:val="24"/>
        </w:rPr>
        <w:t>2.因乙方承担赔偿责任或上述违约责任导致履约保证金不足额的，乙方应在</w:t>
      </w:r>
      <w:r>
        <w:rPr>
          <w:kern w:val="0"/>
          <w:szCs w:val="24"/>
        </w:rPr>
        <w:t>15</w:t>
      </w:r>
      <w:r>
        <w:rPr>
          <w:rFonts w:hint="eastAsia"/>
          <w:kern w:val="0"/>
          <w:szCs w:val="24"/>
        </w:rPr>
        <w:t>个工作日内补齐。</w:t>
      </w:r>
    </w:p>
    <w:p>
      <w:pPr>
        <w:widowControl/>
        <w:ind w:firstLine="480"/>
        <w:rPr>
          <w:szCs w:val="24"/>
        </w:rPr>
      </w:pPr>
      <w:r>
        <w:rPr>
          <w:rFonts w:hint="eastAsia"/>
          <w:kern w:val="0"/>
          <w:szCs w:val="24"/>
        </w:rPr>
        <w:t>3.</w:t>
      </w:r>
      <w:r>
        <w:rPr>
          <w:rFonts w:hint="eastAsia"/>
          <w:szCs w:val="24"/>
        </w:rPr>
        <w:t>如乙方未违反合同的约定，在合同期届满按期撤场后，甲方在乙方提出申请后15个工作日内将履约保证金不计利息全额退还乙方。</w:t>
      </w:r>
    </w:p>
    <w:p>
      <w:pPr>
        <w:widowControl/>
        <w:ind w:firstLine="482"/>
        <w:rPr>
          <w:b/>
          <w:bCs/>
          <w:kern w:val="0"/>
          <w:szCs w:val="24"/>
        </w:rPr>
      </w:pPr>
      <w:r>
        <w:rPr>
          <w:rFonts w:hint="eastAsia"/>
          <w:b/>
          <w:bCs/>
          <w:kern w:val="0"/>
          <w:szCs w:val="24"/>
        </w:rPr>
        <w:t>第三章 风险责任承担</w:t>
      </w:r>
    </w:p>
    <w:p>
      <w:pPr>
        <w:widowControl/>
        <w:ind w:firstLine="482"/>
        <w:rPr>
          <w:kern w:val="0"/>
          <w:szCs w:val="24"/>
        </w:rPr>
      </w:pPr>
      <w:r>
        <w:rPr>
          <w:rFonts w:hint="eastAsia"/>
          <w:b/>
          <w:bCs/>
          <w:kern w:val="0"/>
          <w:szCs w:val="24"/>
        </w:rPr>
        <w:t xml:space="preserve">第七条 </w:t>
      </w:r>
      <w:r>
        <w:rPr>
          <w:rFonts w:hint="eastAsia"/>
          <w:kern w:val="0"/>
          <w:szCs w:val="24"/>
        </w:rPr>
        <w:t>在校园共享电动自行车、运营过程中，乙方自主投资、独立核算、自主经营、自主用工、自负盈亏，乙方营运校园共享电动自行车所有盈利归乙方享有，所有亏损风险由乙方承担，乙方独立承担交通安全事故及所有民事责任。</w:t>
      </w:r>
    </w:p>
    <w:p>
      <w:pPr>
        <w:widowControl/>
        <w:ind w:firstLine="482"/>
        <w:rPr>
          <w:b/>
          <w:bCs/>
          <w:kern w:val="0"/>
          <w:szCs w:val="24"/>
        </w:rPr>
      </w:pPr>
      <w:r>
        <w:rPr>
          <w:rFonts w:hint="eastAsia"/>
          <w:b/>
          <w:bCs/>
          <w:kern w:val="0"/>
          <w:szCs w:val="24"/>
        </w:rPr>
        <w:t>第四章 双方的权利和义务</w:t>
      </w:r>
    </w:p>
    <w:p>
      <w:pPr>
        <w:widowControl/>
        <w:ind w:firstLine="482"/>
        <w:rPr>
          <w:kern w:val="0"/>
          <w:szCs w:val="24"/>
        </w:rPr>
      </w:pPr>
      <w:r>
        <w:rPr>
          <w:rFonts w:hint="eastAsia"/>
          <w:b/>
          <w:bCs/>
          <w:kern w:val="0"/>
          <w:szCs w:val="24"/>
        </w:rPr>
        <w:t xml:space="preserve">第八条 </w:t>
      </w:r>
      <w:r>
        <w:rPr>
          <w:rFonts w:hint="eastAsia"/>
          <w:kern w:val="0"/>
          <w:szCs w:val="24"/>
        </w:rPr>
        <w:t>甲方的权利和义务</w:t>
      </w:r>
    </w:p>
    <w:p>
      <w:pPr>
        <w:widowControl/>
        <w:ind w:firstLine="480"/>
        <w:rPr>
          <w:kern w:val="0"/>
          <w:szCs w:val="24"/>
        </w:rPr>
      </w:pPr>
      <w:r>
        <w:rPr>
          <w:rFonts w:hint="eastAsia"/>
          <w:kern w:val="0"/>
          <w:szCs w:val="24"/>
        </w:rPr>
        <w:t>1.甲方的权利</w:t>
      </w:r>
    </w:p>
    <w:p>
      <w:pPr>
        <w:widowControl/>
        <w:ind w:firstLine="480"/>
        <w:rPr>
          <w:kern w:val="0"/>
          <w:szCs w:val="24"/>
        </w:rPr>
      </w:pPr>
      <w:r>
        <w:rPr>
          <w:rFonts w:hint="eastAsia"/>
          <w:kern w:val="0"/>
          <w:szCs w:val="24"/>
        </w:rPr>
        <w:t>（1）甲方有权按照相关规定对乙方进行监督管理。</w:t>
      </w:r>
    </w:p>
    <w:p>
      <w:pPr>
        <w:widowControl/>
        <w:ind w:firstLine="480"/>
        <w:rPr>
          <w:kern w:val="0"/>
          <w:szCs w:val="24"/>
        </w:rPr>
      </w:pPr>
      <w:r>
        <w:rPr>
          <w:rFonts w:hint="eastAsia"/>
          <w:kern w:val="0"/>
          <w:szCs w:val="24"/>
        </w:rPr>
        <w:t>（2）若乙方逾期未完善车辆保险的投保手续，甲方有权单方面解除合同。</w:t>
      </w:r>
    </w:p>
    <w:p>
      <w:pPr>
        <w:widowControl/>
        <w:ind w:firstLine="480"/>
        <w:rPr>
          <w:kern w:val="0"/>
          <w:szCs w:val="24"/>
        </w:rPr>
      </w:pPr>
      <w:r>
        <w:rPr>
          <w:rFonts w:hint="eastAsia"/>
          <w:kern w:val="0"/>
          <w:szCs w:val="24"/>
        </w:rPr>
        <w:t>（3）如因乙方营运校园共享电动自行车发生交通安全事故导致甲方临时或应急垫支的任何费用或承担相应赔偿责任的，甲方有权首先使用履约保证金支付，履约保证金不足以支付的部分，乙方应无条件全额返还，甲方有权向乙方全额追偿。</w:t>
      </w:r>
    </w:p>
    <w:p>
      <w:pPr>
        <w:widowControl/>
        <w:ind w:firstLine="480"/>
        <w:rPr>
          <w:kern w:val="0"/>
          <w:szCs w:val="24"/>
        </w:rPr>
      </w:pPr>
      <w:r>
        <w:rPr>
          <w:rFonts w:hint="eastAsia"/>
          <w:kern w:val="0"/>
          <w:szCs w:val="24"/>
        </w:rPr>
        <w:t>2.甲方的义务</w:t>
      </w:r>
    </w:p>
    <w:p>
      <w:pPr>
        <w:widowControl/>
        <w:numPr>
          <w:ilvl w:val="0"/>
          <w:numId w:val="0"/>
        </w:numPr>
        <w:spacing w:line="360" w:lineRule="auto"/>
        <w:ind w:firstLine="480" w:firstLineChars="0"/>
        <w:rPr>
          <w:kern w:val="0"/>
          <w:szCs w:val="24"/>
        </w:rPr>
      </w:pPr>
      <w:r>
        <w:rPr>
          <w:rFonts w:hint="eastAsia"/>
          <w:kern w:val="0"/>
          <w:szCs w:val="24"/>
        </w:rPr>
        <w:t>（1）甲方为乙方</w:t>
      </w:r>
      <w:r>
        <w:rPr>
          <w:rFonts w:hint="eastAsia" w:ascii="宋体" w:eastAsia="宋体"/>
          <w:kern w:val="0"/>
          <w:sz w:val="24"/>
          <w:szCs w:val="24"/>
          <w:lang w:val="en-US" w:eastAsia="zh-CN"/>
        </w:rPr>
        <w:t>提供基础办公场所，满足部分</w:t>
      </w:r>
      <w:r>
        <w:rPr>
          <w:rFonts w:hint="eastAsia"/>
          <w:kern w:val="0"/>
          <w:sz w:val="24"/>
          <w:szCs w:val="24"/>
          <w:lang w:val="en-US" w:eastAsia="zh-CN"/>
        </w:rPr>
        <w:t>乙方</w:t>
      </w:r>
      <w:r>
        <w:rPr>
          <w:rFonts w:hint="eastAsia" w:ascii="宋体" w:eastAsia="宋体"/>
          <w:kern w:val="0"/>
          <w:sz w:val="24"/>
          <w:szCs w:val="24"/>
          <w:lang w:val="en-US" w:eastAsia="zh-CN"/>
        </w:rPr>
        <w:t>办公、充电及维修需求</w:t>
      </w:r>
      <w:r>
        <w:rPr>
          <w:rFonts w:hint="eastAsia"/>
          <w:kern w:val="0"/>
          <w:sz w:val="24"/>
          <w:szCs w:val="24"/>
          <w:lang w:val="en-US" w:eastAsia="zh-CN"/>
        </w:rPr>
        <w:t>，</w:t>
      </w:r>
      <w:r>
        <w:rPr>
          <w:rFonts w:hint="eastAsia"/>
          <w:kern w:val="0"/>
          <w:szCs w:val="24"/>
          <w:lang w:val="en-US" w:eastAsia="zh-CN"/>
        </w:rPr>
        <w:t>其余事项均由</w:t>
      </w:r>
      <w:r>
        <w:rPr>
          <w:rFonts w:hint="eastAsia"/>
          <w:kern w:val="0"/>
          <w:szCs w:val="24"/>
        </w:rPr>
        <w:t>乙方自行负责。</w:t>
      </w:r>
      <w:r>
        <w:rPr>
          <w:rFonts w:hint="eastAsia" w:ascii="宋体" w:eastAsia="宋体"/>
          <w:kern w:val="0"/>
          <w:sz w:val="24"/>
          <w:szCs w:val="24"/>
          <w:lang w:val="en-US" w:eastAsia="zh-CN"/>
        </w:rPr>
        <w:t>投放共享电动自行车的停放场地由</w:t>
      </w:r>
      <w:r>
        <w:rPr>
          <w:rFonts w:hint="eastAsia"/>
          <w:kern w:val="0"/>
          <w:sz w:val="24"/>
          <w:szCs w:val="24"/>
          <w:lang w:val="en-US" w:eastAsia="zh-CN"/>
        </w:rPr>
        <w:t>乙方</w:t>
      </w:r>
      <w:r>
        <w:rPr>
          <w:rFonts w:hint="eastAsia" w:ascii="宋体" w:eastAsia="宋体"/>
          <w:kern w:val="0"/>
          <w:sz w:val="24"/>
          <w:szCs w:val="24"/>
          <w:lang w:val="en-US" w:eastAsia="zh-CN"/>
        </w:rPr>
        <w:t>与</w:t>
      </w:r>
      <w:r>
        <w:rPr>
          <w:rFonts w:hint="eastAsia"/>
          <w:kern w:val="0"/>
          <w:sz w:val="24"/>
          <w:szCs w:val="24"/>
          <w:lang w:val="en-US" w:eastAsia="zh-CN"/>
        </w:rPr>
        <w:t>甲方</w:t>
      </w:r>
      <w:r>
        <w:rPr>
          <w:rFonts w:hint="eastAsia" w:ascii="宋体" w:eastAsia="宋体"/>
          <w:kern w:val="0"/>
          <w:sz w:val="24"/>
          <w:szCs w:val="24"/>
          <w:lang w:val="en-US" w:eastAsia="zh-CN"/>
        </w:rPr>
        <w:t>有关职能部门协商</w:t>
      </w:r>
      <w:r>
        <w:rPr>
          <w:rFonts w:hint="eastAsia"/>
          <w:kern w:val="0"/>
          <w:szCs w:val="24"/>
        </w:rPr>
        <w:t>。</w:t>
      </w:r>
    </w:p>
    <w:p>
      <w:pPr>
        <w:widowControl/>
        <w:ind w:firstLine="482"/>
        <w:rPr>
          <w:kern w:val="0"/>
          <w:szCs w:val="24"/>
        </w:rPr>
      </w:pPr>
      <w:r>
        <w:rPr>
          <w:rFonts w:hint="eastAsia"/>
          <w:b/>
          <w:bCs/>
          <w:kern w:val="0"/>
          <w:szCs w:val="24"/>
        </w:rPr>
        <w:t xml:space="preserve">第九条 </w:t>
      </w:r>
      <w:r>
        <w:rPr>
          <w:rFonts w:hint="eastAsia"/>
          <w:kern w:val="0"/>
          <w:szCs w:val="24"/>
        </w:rPr>
        <w:t>乙方的权利和义务</w:t>
      </w:r>
    </w:p>
    <w:p>
      <w:pPr>
        <w:widowControl/>
        <w:ind w:firstLine="480"/>
        <w:rPr>
          <w:kern w:val="0"/>
          <w:szCs w:val="24"/>
        </w:rPr>
      </w:pPr>
      <w:r>
        <w:rPr>
          <w:rFonts w:hint="eastAsia"/>
          <w:kern w:val="0"/>
          <w:szCs w:val="24"/>
        </w:rPr>
        <w:t>1.乙方的权利</w:t>
      </w:r>
    </w:p>
    <w:p>
      <w:pPr>
        <w:widowControl/>
        <w:ind w:firstLine="480"/>
        <w:rPr>
          <w:szCs w:val="24"/>
        </w:rPr>
      </w:pPr>
      <w:r>
        <w:rPr>
          <w:rFonts w:hint="eastAsia"/>
          <w:kern w:val="0"/>
          <w:szCs w:val="24"/>
        </w:rPr>
        <w:t>（1）乙方有</w:t>
      </w:r>
      <w:r>
        <w:rPr>
          <w:szCs w:val="24"/>
        </w:rPr>
        <w:t>在合法</w:t>
      </w:r>
      <w:r>
        <w:rPr>
          <w:rFonts w:hint="eastAsia"/>
          <w:szCs w:val="24"/>
        </w:rPr>
        <w:t>并符合学校相关制度规定的</w:t>
      </w:r>
      <w:r>
        <w:rPr>
          <w:szCs w:val="24"/>
        </w:rPr>
        <w:t>范围内服务师生并获得利益的权利。</w:t>
      </w:r>
    </w:p>
    <w:p>
      <w:pPr>
        <w:widowControl/>
        <w:ind w:firstLine="480"/>
        <w:rPr>
          <w:kern w:val="0"/>
          <w:szCs w:val="24"/>
        </w:rPr>
      </w:pPr>
      <w:r>
        <w:rPr>
          <w:rFonts w:hint="eastAsia"/>
          <w:kern w:val="0"/>
          <w:szCs w:val="24"/>
        </w:rPr>
        <w:t>（2）乙方有自行用工的权利，但必须遵守相关的法律法规、规范性法律文件、行业及学校相关制度的特殊要求。</w:t>
      </w:r>
    </w:p>
    <w:p>
      <w:pPr>
        <w:widowControl/>
        <w:ind w:firstLine="480"/>
        <w:rPr>
          <w:kern w:val="0"/>
          <w:szCs w:val="24"/>
        </w:rPr>
      </w:pPr>
      <w:r>
        <w:rPr>
          <w:rFonts w:hint="eastAsia"/>
          <w:kern w:val="0"/>
          <w:szCs w:val="24"/>
        </w:rPr>
        <w:t>（3）合同</w:t>
      </w:r>
      <w:r>
        <w:rPr>
          <w:szCs w:val="24"/>
        </w:rPr>
        <w:t>期满后，乙方自行购买的设施、设备，所有权归属乙方，</w:t>
      </w:r>
      <w:r>
        <w:rPr>
          <w:rFonts w:hint="eastAsia"/>
          <w:szCs w:val="24"/>
        </w:rPr>
        <w:t>相关设备处置不得影响场地安全</w:t>
      </w:r>
      <w:r>
        <w:rPr>
          <w:szCs w:val="24"/>
        </w:rPr>
        <w:t>。</w:t>
      </w:r>
    </w:p>
    <w:p>
      <w:pPr>
        <w:widowControl/>
        <w:ind w:firstLine="480"/>
        <w:rPr>
          <w:kern w:val="0"/>
          <w:szCs w:val="24"/>
        </w:rPr>
      </w:pPr>
      <w:r>
        <w:rPr>
          <w:rFonts w:hint="eastAsia"/>
          <w:kern w:val="0"/>
          <w:szCs w:val="24"/>
        </w:rPr>
        <w:t>2.乙方的义务</w:t>
      </w:r>
    </w:p>
    <w:p>
      <w:pPr>
        <w:widowControl/>
        <w:ind w:firstLine="480"/>
        <w:rPr>
          <w:kern w:val="0"/>
          <w:szCs w:val="24"/>
        </w:rPr>
      </w:pPr>
      <w:r>
        <w:rPr>
          <w:rFonts w:hint="eastAsia"/>
          <w:kern w:val="0"/>
          <w:szCs w:val="24"/>
        </w:rPr>
        <w:t>（1）乙方自己出资购置的车辆和充电设备应安全可靠，符合国家质量标准要求和环保有关规定。</w:t>
      </w:r>
    </w:p>
    <w:p>
      <w:pPr>
        <w:widowControl/>
        <w:ind w:firstLine="480"/>
        <w:rPr>
          <w:kern w:val="0"/>
          <w:szCs w:val="24"/>
        </w:rPr>
      </w:pPr>
      <w:r>
        <w:rPr>
          <w:rFonts w:hint="eastAsia"/>
          <w:kern w:val="0"/>
          <w:szCs w:val="24"/>
        </w:rPr>
        <w:t>（2）乙方投入运营的车辆须完善国家有关法律法规规定的一切手续。</w:t>
      </w:r>
    </w:p>
    <w:p>
      <w:pPr>
        <w:widowControl/>
        <w:ind w:firstLine="480"/>
        <w:rPr>
          <w:kern w:val="0"/>
          <w:szCs w:val="24"/>
        </w:rPr>
      </w:pPr>
      <w:r>
        <w:rPr>
          <w:rFonts w:hint="eastAsia"/>
          <w:kern w:val="0"/>
          <w:szCs w:val="24"/>
        </w:rPr>
        <w:t>（3）乙方投入运行的车辆不能满足实际需要，乙方应根据甲方提出的要求增加或更换车辆，务必保证在校师生的工作学习、生活的交通需要。</w:t>
      </w:r>
    </w:p>
    <w:p>
      <w:pPr>
        <w:widowControl/>
        <w:ind w:firstLine="480"/>
        <w:rPr>
          <w:kern w:val="0"/>
          <w:szCs w:val="24"/>
        </w:rPr>
      </w:pPr>
      <w:r>
        <w:rPr>
          <w:rFonts w:hint="eastAsia"/>
          <w:kern w:val="0"/>
          <w:szCs w:val="24"/>
        </w:rPr>
        <w:t>（4）合同期内乙方每年应将车辆的有效投保凭证送甲方备案。</w:t>
      </w:r>
    </w:p>
    <w:p>
      <w:pPr>
        <w:widowControl/>
        <w:ind w:firstLine="480"/>
        <w:rPr>
          <w:kern w:val="0"/>
          <w:szCs w:val="24"/>
        </w:rPr>
      </w:pPr>
      <w:r>
        <w:rPr>
          <w:rFonts w:hint="eastAsia"/>
          <w:kern w:val="0"/>
          <w:szCs w:val="24"/>
        </w:rPr>
        <w:t>（5）乙方应对服务甲方的所有工作人员进行审查，并保证所有工作人员无任何违纪违法处罚记录。</w:t>
      </w:r>
    </w:p>
    <w:p>
      <w:pPr>
        <w:widowControl/>
        <w:ind w:firstLine="480"/>
        <w:rPr>
          <w:kern w:val="0"/>
          <w:szCs w:val="24"/>
        </w:rPr>
      </w:pPr>
      <w:r>
        <w:rPr>
          <w:rFonts w:hint="eastAsia"/>
          <w:kern w:val="0"/>
          <w:szCs w:val="24"/>
        </w:rPr>
        <w:t>（6）乙方应要求工作人员必须统一着装、佩戴工作卡上岗。</w:t>
      </w:r>
    </w:p>
    <w:p>
      <w:pPr>
        <w:widowControl/>
        <w:ind w:firstLine="480"/>
        <w:rPr>
          <w:kern w:val="0"/>
          <w:szCs w:val="24"/>
        </w:rPr>
      </w:pPr>
      <w:r>
        <w:rPr>
          <w:rFonts w:hint="eastAsia"/>
          <w:kern w:val="0"/>
          <w:szCs w:val="24"/>
        </w:rPr>
        <w:t>（7）乙方应为其服务甲方的所有工作人员支付报酬，并依法缴纳社保及购买相关保险。乙方与其所有工作人员之间的合同关系或劳动合同纠纷等与甲方无关。</w:t>
      </w:r>
    </w:p>
    <w:p>
      <w:pPr>
        <w:ind w:firstLine="480"/>
        <w:rPr>
          <w:szCs w:val="24"/>
        </w:rPr>
      </w:pPr>
      <w:r>
        <w:rPr>
          <w:rFonts w:hint="eastAsia"/>
          <w:kern w:val="0"/>
          <w:szCs w:val="24"/>
        </w:rPr>
        <w:t>（8）</w:t>
      </w:r>
      <w:r>
        <w:rPr>
          <w:rFonts w:hint="eastAsia"/>
          <w:szCs w:val="24"/>
        </w:rPr>
        <w:t>供应商须同意吸收采购方推荐的相关创新创业学生团队参与到涉及但不限于服务策划、宣传和实际管理工作，并支付相应报酬。</w:t>
      </w:r>
    </w:p>
    <w:p>
      <w:pPr>
        <w:widowControl/>
        <w:ind w:firstLine="480"/>
        <w:rPr>
          <w:kern w:val="0"/>
          <w:szCs w:val="24"/>
        </w:rPr>
      </w:pPr>
      <w:r>
        <w:rPr>
          <w:rFonts w:hint="eastAsia"/>
          <w:kern w:val="0"/>
          <w:szCs w:val="24"/>
        </w:rPr>
        <w:t>（9）乙方应服从甲方管理，遵守学校规章制度，不得扰乱学校正常教学生活秩序。</w:t>
      </w:r>
    </w:p>
    <w:p>
      <w:pPr>
        <w:widowControl/>
        <w:ind w:firstLine="480"/>
        <w:rPr>
          <w:kern w:val="0"/>
          <w:szCs w:val="24"/>
        </w:rPr>
      </w:pPr>
      <w:r>
        <w:rPr>
          <w:rFonts w:hint="eastAsia"/>
          <w:kern w:val="0"/>
          <w:szCs w:val="24"/>
        </w:rPr>
        <w:t>（10）乙方应以自己的名义从事本合同约定的服务，不得对内对外利用甲方名义从事任何活动。</w:t>
      </w:r>
    </w:p>
    <w:p>
      <w:pPr>
        <w:widowControl/>
        <w:ind w:firstLine="480"/>
        <w:rPr>
          <w:kern w:val="0"/>
          <w:szCs w:val="24"/>
        </w:rPr>
      </w:pPr>
      <w:r>
        <w:rPr>
          <w:rFonts w:hint="eastAsia"/>
          <w:kern w:val="0"/>
          <w:szCs w:val="24"/>
        </w:rPr>
        <w:t>（11）未经甲方书面同意，乙方不得将本合同内的任何权利和义务转让给第三方。</w:t>
      </w:r>
    </w:p>
    <w:p>
      <w:pPr>
        <w:widowControl/>
        <w:ind w:firstLine="480"/>
        <w:rPr>
          <w:kern w:val="0"/>
          <w:szCs w:val="24"/>
        </w:rPr>
      </w:pPr>
      <w:r>
        <w:rPr>
          <w:rFonts w:hint="eastAsia"/>
          <w:kern w:val="0"/>
          <w:szCs w:val="24"/>
        </w:rPr>
        <w:t>（12）乙方在合同期满后，无条件将自购的设施、设备撤离学校，逾期未搬离的设施、设备，视为其主动放弃所有权，可由甲方处置。</w:t>
      </w:r>
    </w:p>
    <w:p>
      <w:pPr>
        <w:widowControl/>
        <w:ind w:firstLine="480"/>
        <w:rPr>
          <w:kern w:val="0"/>
          <w:szCs w:val="24"/>
        </w:rPr>
      </w:pPr>
      <w:r>
        <w:rPr>
          <w:rFonts w:hint="eastAsia"/>
          <w:kern w:val="0"/>
          <w:szCs w:val="24"/>
        </w:rPr>
        <w:t>（13）乙方在应急情况下，为甲方无条件提供服务。</w:t>
      </w:r>
    </w:p>
    <w:p>
      <w:pPr>
        <w:widowControl/>
        <w:ind w:firstLine="482"/>
        <w:rPr>
          <w:b/>
          <w:bCs/>
          <w:kern w:val="0"/>
          <w:szCs w:val="24"/>
        </w:rPr>
      </w:pPr>
      <w:r>
        <w:rPr>
          <w:rFonts w:hint="eastAsia"/>
          <w:b/>
          <w:bCs/>
          <w:kern w:val="0"/>
          <w:szCs w:val="24"/>
        </w:rPr>
        <w:t>第五章 合同的解除和撤场</w:t>
      </w:r>
    </w:p>
    <w:p>
      <w:pPr>
        <w:widowControl/>
        <w:ind w:firstLine="482"/>
        <w:rPr>
          <w:kern w:val="0"/>
          <w:szCs w:val="24"/>
        </w:rPr>
      </w:pPr>
      <w:r>
        <w:rPr>
          <w:rFonts w:hint="eastAsia"/>
          <w:b/>
          <w:bCs/>
          <w:kern w:val="0"/>
          <w:szCs w:val="24"/>
        </w:rPr>
        <w:t xml:space="preserve">第十条 </w:t>
      </w:r>
      <w:r>
        <w:rPr>
          <w:rFonts w:hint="eastAsia"/>
          <w:kern w:val="0"/>
          <w:szCs w:val="24"/>
        </w:rPr>
        <w:t>任何对合同的变更均须由一方提出要求和充分依据并以书面形式达成一致，方为有效。</w:t>
      </w:r>
    </w:p>
    <w:p>
      <w:pPr>
        <w:widowControl/>
        <w:ind w:firstLine="482"/>
        <w:rPr>
          <w:kern w:val="0"/>
          <w:szCs w:val="24"/>
        </w:rPr>
      </w:pPr>
      <w:r>
        <w:rPr>
          <w:rFonts w:hint="eastAsia"/>
          <w:b/>
          <w:bCs/>
          <w:kern w:val="0"/>
          <w:szCs w:val="24"/>
        </w:rPr>
        <w:t xml:space="preserve">第十一条 </w:t>
      </w:r>
      <w:r>
        <w:rPr>
          <w:rFonts w:hint="eastAsia"/>
          <w:kern w:val="0"/>
          <w:szCs w:val="24"/>
        </w:rPr>
        <w:t>合同期内，遇不可抗力因素致使本合同不能履行的，一方应向另一方发出解除合同通知。通知到达对方后，本合同即行解除，双方互不作补偿。</w:t>
      </w:r>
    </w:p>
    <w:p>
      <w:pPr>
        <w:widowControl/>
        <w:ind w:firstLine="482"/>
        <w:rPr>
          <w:kern w:val="0"/>
          <w:szCs w:val="24"/>
        </w:rPr>
      </w:pPr>
      <w:r>
        <w:rPr>
          <w:rFonts w:hint="eastAsia"/>
          <w:b/>
          <w:bCs/>
          <w:kern w:val="0"/>
          <w:szCs w:val="24"/>
        </w:rPr>
        <w:t xml:space="preserve">第十二条 </w:t>
      </w:r>
      <w:r>
        <w:rPr>
          <w:rFonts w:hint="eastAsia"/>
          <w:kern w:val="0"/>
          <w:szCs w:val="24"/>
        </w:rPr>
        <w:t>发生下列情形之一的视为乙方违约，甲方有权解除合同，</w:t>
      </w:r>
      <w:r>
        <w:rPr>
          <w:rFonts w:hint="eastAsia"/>
          <w:szCs w:val="24"/>
        </w:rPr>
        <w:t>并追究乙方由此给甲方带来的全部损失，</w:t>
      </w:r>
      <w:r>
        <w:rPr>
          <w:rFonts w:hint="eastAsia"/>
          <w:kern w:val="0"/>
          <w:szCs w:val="24"/>
        </w:rPr>
        <w:t>涉及国家行政或刑事法律的由国家机关另行追究乙方相关责任。</w:t>
      </w:r>
    </w:p>
    <w:p>
      <w:pPr>
        <w:widowControl/>
        <w:ind w:firstLine="480"/>
        <w:rPr>
          <w:kern w:val="0"/>
          <w:szCs w:val="24"/>
        </w:rPr>
      </w:pPr>
      <w:r>
        <w:rPr>
          <w:rFonts w:hint="eastAsia"/>
          <w:kern w:val="0"/>
          <w:szCs w:val="24"/>
        </w:rPr>
        <w:t>1.因乙方经营和管理不当造成交通事故和治安事件等，相关责任和赔偿由乙方负责。</w:t>
      </w:r>
    </w:p>
    <w:p>
      <w:pPr>
        <w:widowControl/>
        <w:ind w:firstLine="480"/>
        <w:rPr>
          <w:kern w:val="0"/>
          <w:szCs w:val="24"/>
        </w:rPr>
      </w:pPr>
      <w:r>
        <w:rPr>
          <w:rFonts w:hint="eastAsia"/>
          <w:kern w:val="0"/>
          <w:szCs w:val="24"/>
        </w:rPr>
        <w:t>2.乙方利用经营便利从事违法犯罪活动的。</w:t>
      </w:r>
    </w:p>
    <w:p>
      <w:pPr>
        <w:widowControl/>
        <w:ind w:firstLine="480"/>
        <w:rPr>
          <w:kern w:val="0"/>
          <w:szCs w:val="24"/>
        </w:rPr>
      </w:pPr>
      <w:r>
        <w:rPr>
          <w:rFonts w:hint="eastAsia"/>
          <w:kern w:val="0"/>
          <w:szCs w:val="24"/>
        </w:rPr>
        <w:t>3.乙方未按期补足保证金超过一个月的。</w:t>
      </w:r>
    </w:p>
    <w:p>
      <w:pPr>
        <w:widowControl/>
        <w:ind w:firstLine="480"/>
        <w:rPr>
          <w:kern w:val="0"/>
          <w:szCs w:val="24"/>
        </w:rPr>
      </w:pPr>
      <w:r>
        <w:rPr>
          <w:rFonts w:hint="eastAsia"/>
          <w:kern w:val="0"/>
          <w:szCs w:val="24"/>
        </w:rPr>
        <w:t>4.乙方单方面解除合同的。</w:t>
      </w:r>
    </w:p>
    <w:p>
      <w:pPr>
        <w:widowControl/>
        <w:ind w:firstLine="482"/>
        <w:rPr>
          <w:kern w:val="0"/>
          <w:szCs w:val="24"/>
        </w:rPr>
      </w:pPr>
      <w:r>
        <w:rPr>
          <w:rFonts w:hint="eastAsia"/>
          <w:b/>
          <w:bCs/>
          <w:kern w:val="0"/>
          <w:szCs w:val="24"/>
        </w:rPr>
        <w:t xml:space="preserve">第十三条 </w:t>
      </w:r>
      <w:r>
        <w:rPr>
          <w:rFonts w:hint="eastAsia"/>
          <w:kern w:val="0"/>
          <w:szCs w:val="24"/>
        </w:rPr>
        <w:t>发生下列情形之一的视为甲方违约，乙方有权解除合同，</w:t>
      </w:r>
      <w:r>
        <w:rPr>
          <w:rFonts w:hint="eastAsia"/>
          <w:szCs w:val="24"/>
        </w:rPr>
        <w:t>并追究甲方由此给乙方带来的全部损失</w:t>
      </w:r>
      <w:r>
        <w:rPr>
          <w:rFonts w:hint="eastAsia"/>
          <w:kern w:val="0"/>
          <w:szCs w:val="24"/>
        </w:rPr>
        <w:t>。</w:t>
      </w:r>
    </w:p>
    <w:p>
      <w:pPr>
        <w:widowControl/>
        <w:ind w:firstLine="480"/>
        <w:rPr>
          <w:kern w:val="0"/>
          <w:szCs w:val="24"/>
        </w:rPr>
      </w:pPr>
      <w:r>
        <w:rPr>
          <w:rFonts w:hint="eastAsia"/>
          <w:kern w:val="0"/>
          <w:szCs w:val="24"/>
        </w:rPr>
        <w:t>1.本合同期限内甲方引入第三方校园共享电动自行车服务商。</w:t>
      </w:r>
    </w:p>
    <w:p>
      <w:pPr>
        <w:widowControl/>
        <w:ind w:firstLine="480"/>
        <w:rPr>
          <w:kern w:val="0"/>
          <w:szCs w:val="24"/>
        </w:rPr>
      </w:pPr>
      <w:r>
        <w:rPr>
          <w:rFonts w:hint="eastAsia"/>
          <w:b/>
          <w:bCs/>
          <w:kern w:val="0"/>
          <w:szCs w:val="24"/>
        </w:rPr>
        <w:t>第十四条</w:t>
      </w:r>
      <w:r>
        <w:rPr>
          <w:rFonts w:hint="eastAsia"/>
          <w:kern w:val="0"/>
          <w:szCs w:val="24"/>
          <w:lang w:val="en-US" w:eastAsia="zh-CN"/>
        </w:rPr>
        <w:t xml:space="preserve"> </w:t>
      </w:r>
      <w:r>
        <w:rPr>
          <w:rFonts w:hint="eastAsia"/>
          <w:kern w:val="0"/>
          <w:szCs w:val="24"/>
        </w:rPr>
        <w:t>乙方违约将向甲方支付违约金10万元，甲方违约乙方有权解除合同，甲方需向乙方全额返还10万元保证金。</w:t>
      </w:r>
    </w:p>
    <w:p>
      <w:pPr>
        <w:widowControl/>
        <w:ind w:firstLine="482"/>
        <w:rPr>
          <w:b/>
          <w:bCs/>
          <w:kern w:val="0"/>
          <w:szCs w:val="24"/>
        </w:rPr>
      </w:pPr>
      <w:r>
        <w:rPr>
          <w:rFonts w:hint="eastAsia"/>
          <w:b/>
          <w:bCs/>
          <w:kern w:val="0"/>
          <w:szCs w:val="24"/>
        </w:rPr>
        <w:t>第六章 其他</w:t>
      </w:r>
    </w:p>
    <w:p>
      <w:pPr>
        <w:widowControl/>
        <w:ind w:firstLine="482"/>
        <w:rPr>
          <w:kern w:val="0"/>
          <w:szCs w:val="24"/>
        </w:rPr>
      </w:pPr>
      <w:r>
        <w:rPr>
          <w:rFonts w:hint="eastAsia"/>
          <w:b/>
          <w:bCs/>
          <w:kern w:val="0"/>
          <w:szCs w:val="24"/>
        </w:rPr>
        <w:t xml:space="preserve">第十五条 </w:t>
      </w:r>
      <w:r>
        <w:rPr>
          <w:kern w:val="0"/>
          <w:szCs w:val="24"/>
        </w:rPr>
        <w:t>本合同未尽事宜由甲、乙双方协商解决；</w:t>
      </w:r>
      <w:r>
        <w:rPr>
          <w:rFonts w:hint="eastAsia"/>
          <w:kern w:val="0"/>
          <w:szCs w:val="24"/>
        </w:rPr>
        <w:t>如协商不能解决，提交当地人民法院裁决。</w:t>
      </w:r>
    </w:p>
    <w:p>
      <w:pPr>
        <w:widowControl/>
        <w:ind w:firstLine="482"/>
        <w:rPr>
          <w:kern w:val="0"/>
          <w:szCs w:val="24"/>
        </w:rPr>
      </w:pPr>
      <w:r>
        <w:rPr>
          <w:rFonts w:hint="eastAsia"/>
          <w:b/>
          <w:bCs/>
          <w:kern w:val="0"/>
          <w:szCs w:val="24"/>
        </w:rPr>
        <w:t xml:space="preserve">第十六条 </w:t>
      </w:r>
      <w:r>
        <w:rPr>
          <w:kern w:val="0"/>
          <w:szCs w:val="24"/>
        </w:rPr>
        <w:t>本协议一式</w:t>
      </w:r>
      <w:r>
        <w:rPr>
          <w:rFonts w:hint="eastAsia"/>
          <w:kern w:val="0"/>
          <w:szCs w:val="24"/>
        </w:rPr>
        <w:t>捌</w:t>
      </w:r>
      <w:r>
        <w:rPr>
          <w:kern w:val="0"/>
          <w:szCs w:val="24"/>
        </w:rPr>
        <w:t>份，</w:t>
      </w:r>
      <w:r>
        <w:rPr>
          <w:rFonts w:hint="eastAsia"/>
          <w:kern w:val="0"/>
          <w:szCs w:val="24"/>
        </w:rPr>
        <w:t>甲方执陆份</w:t>
      </w:r>
      <w:r>
        <w:rPr>
          <w:kern w:val="0"/>
          <w:szCs w:val="24"/>
        </w:rPr>
        <w:t>，</w:t>
      </w:r>
      <w:r>
        <w:rPr>
          <w:rFonts w:hint="eastAsia"/>
          <w:kern w:val="0"/>
          <w:szCs w:val="24"/>
        </w:rPr>
        <w:t>乙方执贰份，</w:t>
      </w:r>
      <w:r>
        <w:rPr>
          <w:kern w:val="0"/>
          <w:szCs w:val="24"/>
        </w:rPr>
        <w:t>自双方签字盖章后生效。</w:t>
      </w:r>
    </w:p>
    <w:p>
      <w:pPr>
        <w:ind w:firstLine="482"/>
        <w:rPr>
          <w:szCs w:val="24"/>
        </w:rPr>
      </w:pPr>
      <w:r>
        <w:rPr>
          <w:rFonts w:hint="eastAsia"/>
          <w:b/>
          <w:bCs/>
          <w:szCs w:val="24"/>
        </w:rPr>
        <w:t xml:space="preserve">第十七条 </w:t>
      </w:r>
      <w:r>
        <w:rPr>
          <w:rFonts w:hint="eastAsia"/>
          <w:szCs w:val="24"/>
        </w:rPr>
        <w:t>合同所包括附件，是合同不可分割的一部分，具有</w:t>
      </w:r>
      <w:r>
        <w:rPr>
          <w:rFonts w:hint="eastAsia"/>
          <w:szCs w:val="24"/>
          <w:lang w:eastAsia="zh-CN"/>
        </w:rPr>
        <w:t>同等法律效力</w:t>
      </w:r>
      <w:r>
        <w:rPr>
          <w:rFonts w:hint="eastAsia"/>
          <w:szCs w:val="24"/>
        </w:rPr>
        <w:t>。</w:t>
      </w:r>
    </w:p>
    <w:p>
      <w:pPr>
        <w:widowControl/>
        <w:ind w:firstLine="482"/>
        <w:rPr>
          <w:kern w:val="0"/>
          <w:szCs w:val="24"/>
        </w:rPr>
      </w:pPr>
      <w:bookmarkStart w:id="232" w:name="_Toc10249"/>
      <w:r>
        <w:rPr>
          <w:rFonts w:hint="eastAsia"/>
          <w:b/>
          <w:bCs/>
          <w:kern w:val="0"/>
          <w:szCs w:val="24"/>
        </w:rPr>
        <w:t xml:space="preserve">第十八条 </w:t>
      </w:r>
      <w:r>
        <w:rPr>
          <w:rFonts w:hint="eastAsia"/>
          <w:kern w:val="0"/>
          <w:szCs w:val="24"/>
        </w:rPr>
        <w:t>本合同条件未尽事宜依照《中华人民共和国民法典》，由</w:t>
      </w:r>
      <w:r>
        <w:rPr>
          <w:rFonts w:hint="eastAsia"/>
          <w:kern w:val="0"/>
          <w:szCs w:val="24"/>
          <w:lang w:val="en-US" w:eastAsia="zh-CN"/>
        </w:rPr>
        <w:t>甲乙</w:t>
      </w:r>
      <w:r>
        <w:rPr>
          <w:rFonts w:hint="eastAsia"/>
          <w:kern w:val="0"/>
          <w:szCs w:val="24"/>
        </w:rPr>
        <w:t>双方</w:t>
      </w:r>
      <w:r>
        <w:rPr>
          <w:rFonts w:hint="eastAsia"/>
          <w:kern w:val="0"/>
          <w:szCs w:val="24"/>
          <w:lang w:eastAsia="zh-CN"/>
        </w:rPr>
        <w:t>协商</w:t>
      </w:r>
      <w:r>
        <w:rPr>
          <w:rFonts w:hint="eastAsia"/>
          <w:kern w:val="0"/>
          <w:szCs w:val="24"/>
        </w:rPr>
        <w:t>确定。</w:t>
      </w:r>
      <w:bookmarkEnd w:id="232"/>
    </w:p>
    <w:p>
      <w:pPr>
        <w:ind w:firstLine="480"/>
        <w:rPr>
          <w:szCs w:val="24"/>
        </w:rPr>
      </w:pPr>
      <w:r>
        <w:rPr>
          <w:rFonts w:hint="eastAsia"/>
          <w:szCs w:val="24"/>
        </w:rPr>
        <w:t xml:space="preserve">甲 </w:t>
      </w:r>
      <w:r>
        <w:rPr>
          <w:szCs w:val="24"/>
        </w:rPr>
        <w:t xml:space="preserve"> </w:t>
      </w:r>
      <w:r>
        <w:rPr>
          <w:rFonts w:hint="eastAsia"/>
          <w:szCs w:val="24"/>
        </w:rPr>
        <w:t xml:space="preserve">方：重庆工程职业技术学院（盖章）乙 </w:t>
      </w:r>
      <w:r>
        <w:rPr>
          <w:szCs w:val="24"/>
        </w:rPr>
        <w:t xml:space="preserve"> </w:t>
      </w:r>
      <w:r>
        <w:rPr>
          <w:rFonts w:hint="eastAsia"/>
          <w:szCs w:val="24"/>
        </w:rPr>
        <w:t xml:space="preserve">方：XX公司（盖章）    </w:t>
      </w:r>
    </w:p>
    <w:p>
      <w:pPr>
        <w:adjustRightInd w:val="0"/>
        <w:snapToGrid w:val="0"/>
        <w:ind w:firstLine="480"/>
        <w:rPr>
          <w:szCs w:val="24"/>
          <w:u w:val="single"/>
        </w:rPr>
      </w:pPr>
      <w:r>
        <w:rPr>
          <w:rFonts w:hint="eastAsia"/>
          <w:szCs w:val="24"/>
        </w:rPr>
        <w:t xml:space="preserve">地 </w:t>
      </w:r>
      <w:r>
        <w:rPr>
          <w:szCs w:val="24"/>
        </w:rPr>
        <w:t xml:space="preserve"> </w:t>
      </w:r>
      <w:r>
        <w:rPr>
          <w:rFonts w:hint="eastAsia"/>
          <w:szCs w:val="24"/>
        </w:rPr>
        <w:t xml:space="preserve">址：                            地 </w:t>
      </w:r>
      <w:r>
        <w:rPr>
          <w:szCs w:val="24"/>
        </w:rPr>
        <w:t xml:space="preserve"> </w:t>
      </w:r>
      <w:r>
        <w:rPr>
          <w:rFonts w:hint="eastAsia"/>
          <w:szCs w:val="24"/>
        </w:rPr>
        <w:t xml:space="preserve">址：                   </w:t>
      </w:r>
    </w:p>
    <w:p>
      <w:pPr>
        <w:adjustRightInd w:val="0"/>
        <w:snapToGrid w:val="0"/>
        <w:ind w:firstLine="480"/>
        <w:rPr>
          <w:szCs w:val="24"/>
        </w:rPr>
      </w:pPr>
      <w:r>
        <w:rPr>
          <w:rFonts w:hint="eastAsia"/>
          <w:szCs w:val="24"/>
        </w:rPr>
        <w:t>法定代表人或其授权                  法定代表人或其授权</w:t>
      </w:r>
    </w:p>
    <w:p>
      <w:pPr>
        <w:adjustRightInd w:val="0"/>
        <w:snapToGrid w:val="0"/>
        <w:ind w:firstLine="480"/>
        <w:rPr>
          <w:szCs w:val="24"/>
        </w:rPr>
      </w:pPr>
      <w:r>
        <w:rPr>
          <w:rFonts w:hint="eastAsia"/>
          <w:szCs w:val="24"/>
        </w:rPr>
        <w:t xml:space="preserve">的代理人：（签字）                   的代理人：（签字）           </w:t>
      </w:r>
    </w:p>
    <w:p>
      <w:pPr>
        <w:adjustRightInd w:val="0"/>
        <w:snapToGrid w:val="0"/>
        <w:ind w:firstLine="480"/>
        <w:rPr>
          <w:szCs w:val="24"/>
          <w:u w:val="single"/>
        </w:rPr>
      </w:pPr>
      <w:r>
        <w:rPr>
          <w:rFonts w:hint="eastAsia"/>
          <w:szCs w:val="24"/>
        </w:rPr>
        <w:t xml:space="preserve">开户银行：                          开户银行：                 </w:t>
      </w:r>
    </w:p>
    <w:p>
      <w:pPr>
        <w:adjustRightInd w:val="0"/>
        <w:snapToGrid w:val="0"/>
        <w:ind w:firstLine="480"/>
        <w:rPr>
          <w:szCs w:val="24"/>
        </w:rPr>
      </w:pPr>
      <w:r>
        <w:rPr>
          <w:rFonts w:hint="eastAsia"/>
          <w:szCs w:val="24"/>
        </w:rPr>
        <w:t xml:space="preserve">账  号：                            账  号：                     </w:t>
      </w:r>
    </w:p>
    <w:p>
      <w:pPr>
        <w:adjustRightInd w:val="0"/>
        <w:snapToGrid w:val="0"/>
        <w:ind w:firstLine="480"/>
        <w:rPr>
          <w:szCs w:val="24"/>
        </w:rPr>
      </w:pPr>
      <w:r>
        <w:rPr>
          <w:rFonts w:hint="eastAsia"/>
          <w:szCs w:val="24"/>
        </w:rPr>
        <w:t xml:space="preserve">电  话：                            电  话：                    </w:t>
      </w:r>
    </w:p>
    <w:p>
      <w:pPr>
        <w:ind w:firstLine="480"/>
        <w:rPr>
          <w:szCs w:val="24"/>
        </w:rPr>
      </w:pPr>
      <w:r>
        <w:rPr>
          <w:rFonts w:hint="eastAsia"/>
          <w:szCs w:val="24"/>
        </w:rPr>
        <w:t xml:space="preserve">传  真：                            传  真：                    </w:t>
      </w:r>
    </w:p>
    <w:p>
      <w:pPr>
        <w:ind w:firstLine="480"/>
        <w:rPr>
          <w:szCs w:val="24"/>
        </w:rPr>
      </w:pPr>
      <w:r>
        <w:rPr>
          <w:rFonts w:hint="eastAsia"/>
          <w:szCs w:val="24"/>
        </w:rPr>
        <w:t xml:space="preserve">日 </w:t>
      </w:r>
      <w:r>
        <w:rPr>
          <w:szCs w:val="24"/>
        </w:rPr>
        <w:t xml:space="preserve"> </w:t>
      </w:r>
      <w:r>
        <w:rPr>
          <w:rFonts w:hint="eastAsia"/>
          <w:szCs w:val="24"/>
        </w:rPr>
        <w:t xml:space="preserve">期： </w:t>
      </w:r>
      <w:r>
        <w:rPr>
          <w:szCs w:val="24"/>
        </w:rPr>
        <w:t xml:space="preserve">                         </w:t>
      </w:r>
      <w:r>
        <w:rPr>
          <w:rFonts w:hint="eastAsia"/>
          <w:szCs w:val="24"/>
        </w:rPr>
        <w:t xml:space="preserve">  日  期：                   </w:t>
      </w:r>
      <w:r>
        <w:rPr>
          <w:rFonts w:hint="eastAsia"/>
          <w:szCs w:val="24"/>
        </w:rPr>
        <w:br w:type="page"/>
      </w:r>
    </w:p>
    <w:p>
      <w:pPr>
        <w:ind w:firstLine="482"/>
        <w:rPr>
          <w:b/>
          <w:bCs/>
        </w:rPr>
      </w:pPr>
      <w:r>
        <w:rPr>
          <w:rFonts w:hint="eastAsia"/>
          <w:b/>
          <w:bCs/>
        </w:rPr>
        <w:t>附页：重庆工程职业技术学院校园共享电动自行车运行服务年度考核细则</w:t>
      </w:r>
    </w:p>
    <w:p>
      <w:pPr>
        <w:pStyle w:val="25"/>
        <w:rPr>
          <w:b/>
          <w:bCs/>
        </w:rPr>
      </w:pPr>
      <w:r>
        <w:rPr>
          <w:rFonts w:hint="eastAsia"/>
          <w:b/>
          <w:bCs/>
        </w:rPr>
        <w:t>重庆工程职业技术学院校园共享电动自行车运行服务</w:t>
      </w:r>
    </w:p>
    <w:p>
      <w:pPr>
        <w:pStyle w:val="25"/>
        <w:rPr>
          <w:b/>
          <w:bCs/>
        </w:rPr>
      </w:pPr>
      <w:r>
        <w:rPr>
          <w:rFonts w:hint="eastAsia"/>
          <w:b/>
          <w:bCs/>
        </w:rPr>
        <w:t>年度考核细则</w:t>
      </w:r>
    </w:p>
    <w:p>
      <w:pPr>
        <w:ind w:firstLine="480"/>
      </w:pPr>
      <w:r>
        <w:rPr>
          <w:rFonts w:hint="eastAsia"/>
        </w:rPr>
        <w:t>（一）考核内容及分值</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975"/>
        <w:gridCol w:w="3802"/>
        <w:gridCol w:w="936"/>
        <w:gridCol w:w="936"/>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序号</w:t>
            </w:r>
          </w:p>
        </w:tc>
        <w:tc>
          <w:tcPr>
            <w:tcW w:w="572"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项目</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内容</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目标分值</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考核得分</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基础</w:t>
            </w:r>
          </w:p>
          <w:p>
            <w:pPr>
              <w:pStyle w:val="25"/>
            </w:pPr>
            <w:r>
              <w:rPr>
                <w:rFonts w:hint="eastAsia"/>
              </w:rPr>
              <w:t>管理</w:t>
            </w:r>
          </w:p>
          <w:p>
            <w:pPr>
              <w:pStyle w:val="25"/>
            </w:pPr>
            <w:r>
              <w:rPr>
                <w:rFonts w:hint="eastAsia"/>
              </w:rPr>
              <w:t>(30分)</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建立与合同要求相适应的项目管理制度、各岗位工作标准，</w:t>
            </w:r>
            <w:r>
              <w:rPr>
                <w:rFonts w:hint="eastAsia"/>
                <w:lang w:eastAsia="zh-CN"/>
              </w:rPr>
              <w:t>制定</w:t>
            </w:r>
            <w:r>
              <w:rPr>
                <w:rFonts w:hint="eastAsia"/>
              </w:rPr>
              <w:t>具体措施和考核办法。在运行服务过程中按照学校实际需要和要求，对制度进行及时调整。</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2</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2</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自觉遵守学校各项规章制度，维护学校正常的教学、工作和生活秩序。</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3</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管理人员、服务保障人员等各类人员人数充足、工作到位。各类员工的资料交学校监管部门留底备查，有变动时及时告知。</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3</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4</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员工队伍统一着装，仪表整洁，佩戴工作牌，整体的工作状态良好、精神饱满、服务意识强。</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2</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履行合同整体情况良好，积极主动配合学校的监督管理，积极采纳学校合理化的意见和建议。</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6</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车辆有完整、有效的保险、检审及其他各种需要手续。</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7</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及时向学校缴纳水电气费等各种费用</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3</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8</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运行</w:t>
            </w:r>
          </w:p>
          <w:p>
            <w:pPr>
              <w:pStyle w:val="25"/>
            </w:pPr>
            <w:r>
              <w:rPr>
                <w:rFonts w:hint="eastAsia"/>
              </w:rPr>
              <w:t>管理</w:t>
            </w:r>
          </w:p>
          <w:p>
            <w:pPr>
              <w:pStyle w:val="25"/>
            </w:pPr>
            <w:r>
              <w:rPr>
                <w:rFonts w:hint="eastAsia"/>
              </w:rPr>
              <w:t>(60分)</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所有员工均须通过培训、考核后方能上岗。</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9</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车辆有完整的保养、维修记录，车况运行良好，杜绝有故障车辆运行。</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能按照和学校商定的方案开展运行服务，遇重大活动等特殊情况听从学校管控。</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11</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重视运行安全，能积极主动处理安全事故，承担合同约定的安全责任，努力做到零事故。不能因自身管理、运行等方面的原因给学校带来损失或不良影响。运行单位具有完备的服务系统，完整的服务体系。车辆出现故障后，运行单位接到学校通知后,应在不超过5分钟内</w:t>
            </w:r>
            <w:r>
              <w:rPr>
                <w:rFonts w:hint="eastAsia"/>
                <w:lang w:eastAsia="zh-CN"/>
              </w:rPr>
              <w:t>做出</w:t>
            </w:r>
            <w:r>
              <w:rPr>
                <w:rFonts w:hint="eastAsia"/>
              </w:rPr>
              <w:t xml:space="preserve">响应，不超过10分钟解决故障，若无法解决故障应将故障车辆暂停运行。 </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12</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积极配合学校对车辆运行安全的检查</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13</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积极接受师生监督，及时、妥善处理投诉意见，并进行合理化改进。</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10</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14</w:t>
            </w:r>
          </w:p>
        </w:tc>
        <w:tc>
          <w:tcPr>
            <w:tcW w:w="572" w:type="pct"/>
            <w:vMerge w:val="restar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满意度(10分)</w:t>
            </w: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配合学校管理部门在学生中开展满意度调查，满意度高。</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15</w:t>
            </w:r>
          </w:p>
        </w:tc>
        <w:tc>
          <w:tcPr>
            <w:tcW w:w="572" w:type="pct"/>
            <w:vMerge w:val="continue"/>
            <w:tcBorders>
              <w:top w:val="single" w:color="auto" w:sz="4" w:space="0"/>
              <w:left w:val="single" w:color="auto" w:sz="4" w:space="0"/>
              <w:bottom w:val="single" w:color="auto" w:sz="4" w:space="0"/>
              <w:right w:val="single" w:color="auto" w:sz="4" w:space="0"/>
            </w:tcBorders>
            <w:vAlign w:val="center"/>
          </w:tcPr>
          <w:p>
            <w:pPr>
              <w:pStyle w:val="25"/>
            </w:pPr>
          </w:p>
        </w:tc>
        <w:tc>
          <w:tcPr>
            <w:tcW w:w="2230" w:type="pct"/>
            <w:tcBorders>
              <w:top w:val="single" w:color="auto" w:sz="4" w:space="0"/>
              <w:left w:val="single" w:color="auto" w:sz="4" w:space="0"/>
              <w:bottom w:val="single" w:color="auto" w:sz="4" w:space="0"/>
              <w:right w:val="single" w:color="auto" w:sz="4" w:space="0"/>
            </w:tcBorders>
            <w:vAlign w:val="center"/>
          </w:tcPr>
          <w:p>
            <w:pPr>
              <w:pStyle w:val="25"/>
              <w:jc w:val="left"/>
            </w:pPr>
            <w:r>
              <w:rPr>
                <w:rFonts w:hint="eastAsia"/>
              </w:rPr>
              <w:t>配合学校管理部门在教职工中开展满意度调查，满意度高。</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r>
              <w:rPr>
                <w:rFonts w:hint="eastAsia"/>
              </w:rPr>
              <w:t>5</w:t>
            </w: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c>
          <w:tcPr>
            <w:tcW w:w="549" w:type="pct"/>
            <w:tcBorders>
              <w:top w:val="single" w:color="auto" w:sz="4" w:space="0"/>
              <w:left w:val="single" w:color="auto" w:sz="4" w:space="0"/>
              <w:bottom w:val="single" w:color="auto" w:sz="4" w:space="0"/>
              <w:right w:val="single" w:color="auto" w:sz="4" w:space="0"/>
            </w:tcBorders>
            <w:vAlign w:val="center"/>
          </w:tcPr>
          <w:p>
            <w:pPr>
              <w:pStyle w:val="25"/>
            </w:pPr>
          </w:p>
        </w:tc>
      </w:tr>
    </w:tbl>
    <w:p>
      <w:pPr>
        <w:ind w:firstLine="480"/>
      </w:pPr>
    </w:p>
    <w:p>
      <w:pPr>
        <w:ind w:firstLine="480"/>
      </w:pPr>
      <w:r>
        <w:rPr>
          <w:rFonts w:hint="eastAsia"/>
        </w:rPr>
        <w:t>（二）考核评分办法</w:t>
      </w:r>
    </w:p>
    <w:p>
      <w:pPr>
        <w:ind w:firstLine="480"/>
      </w:pPr>
      <w:r>
        <w:rPr>
          <w:rFonts w:hint="eastAsia"/>
        </w:rPr>
        <w:t>1.采购人每年对成交供应商的服务进行考核，即：服务年限每满一年，由学校管理部门牵头实施。</w:t>
      </w:r>
    </w:p>
    <w:p>
      <w:pPr>
        <w:ind w:firstLine="480"/>
      </w:pPr>
      <w:r>
        <w:rPr>
          <w:rFonts w:hint="eastAsia"/>
        </w:rPr>
        <w:t>2.年度考核满分100分，按上述《考核内容及分值表》进行打分。凡属扣分项目，具体的事由由中标单位相关人员认可。具体的扣分分值由管理部门根据严重程度、影响大小、次数等方面综合确定。</w:t>
      </w:r>
    </w:p>
    <w:p>
      <w:pPr>
        <w:ind w:firstLine="480"/>
      </w:pPr>
      <w:r>
        <w:rPr>
          <w:rFonts w:hint="eastAsia"/>
        </w:rPr>
        <w:t>3.满意度分值确定</w:t>
      </w:r>
    </w:p>
    <w:p>
      <w:pPr>
        <w:ind w:firstLine="480"/>
      </w:pPr>
      <w:r>
        <w:rPr>
          <w:rFonts w:hint="eastAsia"/>
        </w:rPr>
        <w:t>对师生分别开展满意度调查，结合满意率确定分值</w:t>
      </w:r>
    </w:p>
    <w:p>
      <w:pPr>
        <w:ind w:firstLine="480"/>
      </w:pPr>
      <w:r>
        <w:rPr>
          <w:rFonts w:hint="eastAsia"/>
        </w:rPr>
        <w:fldChar w:fldCharType="begin"/>
      </w:r>
      <w:r>
        <w:rPr>
          <w:rFonts w:hint="eastAsia"/>
        </w:rPr>
        <w:instrText xml:space="preserve"> = 1 \* GB3 \* MERGEFORMAT </w:instrText>
      </w:r>
      <w:r>
        <w:rPr>
          <w:rFonts w:hint="eastAsia"/>
        </w:rPr>
        <w:fldChar w:fldCharType="separate"/>
      </w:r>
      <w:r>
        <w:rPr>
          <w:rFonts w:hint="eastAsia"/>
        </w:rPr>
        <w:t>①</w:t>
      </w:r>
      <w:r>
        <w:rPr>
          <w:rFonts w:hint="eastAsia"/>
        </w:rPr>
        <w:fldChar w:fldCharType="end"/>
      </w:r>
      <w:r>
        <w:rPr>
          <w:rFonts w:hint="eastAsia"/>
        </w:rPr>
        <w:t>满意率≥85% 5分</w:t>
      </w:r>
    </w:p>
    <w:p>
      <w:pPr>
        <w:ind w:firstLine="480"/>
      </w:pPr>
      <w:r>
        <w:rPr>
          <w:rFonts w:hint="eastAsia"/>
        </w:rPr>
        <w:fldChar w:fldCharType="begin"/>
      </w:r>
      <w:r>
        <w:rPr>
          <w:rFonts w:hint="eastAsia"/>
        </w:rPr>
        <w:instrText xml:space="preserve"> = 2 \* GB3 \* MERGEFORMAT </w:instrText>
      </w:r>
      <w:r>
        <w:rPr>
          <w:rFonts w:hint="eastAsia"/>
        </w:rPr>
        <w:fldChar w:fldCharType="separate"/>
      </w:r>
      <w:r>
        <w:rPr>
          <w:rFonts w:hint="eastAsia"/>
        </w:rPr>
        <w:t>②</w:t>
      </w:r>
      <w:r>
        <w:rPr>
          <w:rFonts w:hint="eastAsia"/>
        </w:rPr>
        <w:fldChar w:fldCharType="end"/>
      </w:r>
      <w:r>
        <w:rPr>
          <w:rFonts w:hint="eastAsia"/>
        </w:rPr>
        <w:t>85%＞满意率≥75% 3分</w:t>
      </w:r>
    </w:p>
    <w:p>
      <w:pPr>
        <w:ind w:firstLine="480"/>
      </w:pPr>
      <w:r>
        <w:rPr>
          <w:rFonts w:hint="eastAsia"/>
        </w:rPr>
        <w:fldChar w:fldCharType="begin"/>
      </w:r>
      <w:r>
        <w:rPr>
          <w:rFonts w:hint="eastAsia"/>
        </w:rPr>
        <w:instrText xml:space="preserve"> = 3 \* GB3 \* MERGEFORMAT </w:instrText>
      </w:r>
      <w:r>
        <w:rPr>
          <w:rFonts w:hint="eastAsia"/>
        </w:rPr>
        <w:fldChar w:fldCharType="separate"/>
      </w:r>
      <w:r>
        <w:rPr>
          <w:rFonts w:hint="eastAsia"/>
        </w:rPr>
        <w:t>③</w:t>
      </w:r>
      <w:r>
        <w:rPr>
          <w:rFonts w:hint="eastAsia"/>
        </w:rPr>
        <w:fldChar w:fldCharType="end"/>
      </w:r>
      <w:r>
        <w:rPr>
          <w:rFonts w:hint="eastAsia"/>
        </w:rPr>
        <w:t>75%＞满意率≥60% 2分</w:t>
      </w:r>
    </w:p>
    <w:p>
      <w:pPr>
        <w:ind w:firstLine="480"/>
      </w:pPr>
      <w:r>
        <w:rPr>
          <w:rFonts w:hint="eastAsia"/>
        </w:rPr>
        <w:fldChar w:fldCharType="begin"/>
      </w:r>
      <w:r>
        <w:rPr>
          <w:rFonts w:hint="eastAsia"/>
        </w:rPr>
        <w:instrText xml:space="preserve"> = 4 \* GB3 \* MERGEFORMAT </w:instrText>
      </w:r>
      <w:r>
        <w:rPr>
          <w:rFonts w:hint="eastAsia"/>
        </w:rPr>
        <w:fldChar w:fldCharType="separate"/>
      </w:r>
      <w:r>
        <w:rPr>
          <w:rFonts w:hint="eastAsia"/>
        </w:rPr>
        <w:t>④</w:t>
      </w:r>
      <w:r>
        <w:rPr>
          <w:rFonts w:hint="eastAsia"/>
        </w:rPr>
        <w:fldChar w:fldCharType="end"/>
      </w:r>
      <w:r>
        <w:rPr>
          <w:rFonts w:hint="eastAsia"/>
        </w:rPr>
        <w:t>60%＞满意率 0分</w:t>
      </w:r>
    </w:p>
    <w:p>
      <w:pPr>
        <w:ind w:firstLine="480"/>
        <w:rPr>
          <w:highlight w:val="none"/>
        </w:rPr>
      </w:pPr>
      <w:r>
        <w:rPr>
          <w:rFonts w:hint="eastAsia"/>
          <w:highlight w:val="none"/>
        </w:rPr>
        <w:t>4.考核等级及履约保证金</w:t>
      </w:r>
      <w:r>
        <w:rPr>
          <w:rFonts w:hint="eastAsia"/>
          <w:highlight w:val="none"/>
          <w:lang w:val="en-US" w:eastAsia="zh-CN"/>
        </w:rPr>
        <w:t>的扣除</w:t>
      </w:r>
    </w:p>
    <w:p>
      <w:pPr>
        <w:ind w:firstLine="480" w:firstLineChars="200"/>
        <w:rPr>
          <w:rFonts w:hint="eastAsia" w:eastAsia="宋体"/>
          <w:highlight w:val="none"/>
          <w:lang w:eastAsia="zh-CN"/>
        </w:rPr>
      </w:pPr>
      <w:r>
        <w:rPr>
          <w:rFonts w:hint="eastAsia"/>
          <w:highlight w:val="none"/>
        </w:rPr>
        <w:fldChar w:fldCharType="begin"/>
      </w:r>
      <w:r>
        <w:rPr>
          <w:rFonts w:hint="eastAsia"/>
          <w:highlight w:val="none"/>
        </w:rPr>
        <w:instrText xml:space="preserve"> = 1 \* GB3 \* MERGEFORMAT </w:instrText>
      </w:r>
      <w:r>
        <w:rPr>
          <w:rFonts w:hint="eastAsia"/>
          <w:highlight w:val="none"/>
        </w:rPr>
        <w:fldChar w:fldCharType="separate"/>
      </w:r>
      <w:r>
        <w:rPr>
          <w:rFonts w:hint="eastAsia"/>
          <w:highlight w:val="none"/>
        </w:rPr>
        <w:t>①</w:t>
      </w:r>
      <w:r>
        <w:rPr>
          <w:rFonts w:hint="eastAsia"/>
          <w:highlight w:val="none"/>
        </w:rPr>
        <w:fldChar w:fldCharType="end"/>
      </w:r>
      <w:r>
        <w:rPr>
          <w:rFonts w:hint="eastAsia"/>
          <w:highlight w:val="none"/>
        </w:rPr>
        <w:t>优秀：考核分</w:t>
      </w:r>
      <w:r>
        <w:rPr>
          <w:rFonts w:hint="default" w:ascii="Arial" w:hAnsi="Arial" w:cs="Arial"/>
          <w:highlight w:val="none"/>
        </w:rPr>
        <w:t>≥</w:t>
      </w:r>
      <w:r>
        <w:rPr>
          <w:rFonts w:hint="eastAsia" w:ascii="Arial" w:hAnsi="Arial" w:cs="Arial"/>
          <w:highlight w:val="none"/>
          <w:lang w:val="en-US" w:eastAsia="zh-CN"/>
        </w:rPr>
        <w:t>85分</w:t>
      </w:r>
      <w:r>
        <w:rPr>
          <w:rFonts w:hint="eastAsia"/>
          <w:highlight w:val="none"/>
          <w:lang w:val="en-US" w:eastAsia="zh-CN"/>
        </w:rPr>
        <w:t>，</w:t>
      </w:r>
      <w:r>
        <w:rPr>
          <w:rFonts w:hint="eastAsia"/>
          <w:highlight w:val="none"/>
        </w:rPr>
        <w:t>不扣履约保证金</w:t>
      </w:r>
      <w:r>
        <w:rPr>
          <w:rFonts w:hint="eastAsia"/>
          <w:highlight w:val="none"/>
          <w:lang w:eastAsia="zh-CN"/>
        </w:rPr>
        <w:t>。</w:t>
      </w:r>
    </w:p>
    <w:p>
      <w:pPr>
        <w:ind w:firstLine="480"/>
        <w:rPr>
          <w:highlight w:val="none"/>
        </w:rPr>
      </w:pPr>
      <w:r>
        <w:rPr>
          <w:rFonts w:hint="eastAsia"/>
          <w:highlight w:val="none"/>
        </w:rPr>
        <w:fldChar w:fldCharType="begin"/>
      </w:r>
      <w:r>
        <w:rPr>
          <w:rFonts w:hint="eastAsia"/>
          <w:highlight w:val="none"/>
        </w:rPr>
        <w:instrText xml:space="preserve"> = 2 \* GB3 \* MERGEFORMAT </w:instrText>
      </w:r>
      <w:r>
        <w:rPr>
          <w:rFonts w:hint="eastAsia"/>
          <w:highlight w:val="none"/>
        </w:rPr>
        <w:fldChar w:fldCharType="separate"/>
      </w:r>
      <w:r>
        <w:rPr>
          <w:rFonts w:hint="eastAsia"/>
          <w:highlight w:val="none"/>
        </w:rPr>
        <w:t>②</w:t>
      </w:r>
      <w:r>
        <w:rPr>
          <w:rFonts w:hint="eastAsia"/>
          <w:highlight w:val="none"/>
        </w:rPr>
        <w:fldChar w:fldCharType="end"/>
      </w:r>
      <w:r>
        <w:rPr>
          <w:rFonts w:hint="eastAsia"/>
          <w:highlight w:val="none"/>
        </w:rPr>
        <w:t>良好：</w:t>
      </w:r>
      <w:r>
        <w:rPr>
          <w:rFonts w:hint="eastAsia"/>
          <w:highlight w:val="none"/>
          <w:lang w:val="en-US" w:eastAsia="zh-CN"/>
        </w:rPr>
        <w:t>75分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85分，</w:t>
      </w:r>
      <w:r>
        <w:rPr>
          <w:rFonts w:hint="eastAsia"/>
          <w:highlight w:val="none"/>
        </w:rPr>
        <w:t xml:space="preserve"> 扣履约保证金1万元，扣</w:t>
      </w:r>
      <w:r>
        <w:rPr>
          <w:rFonts w:hint="eastAsia"/>
          <w:highlight w:val="none"/>
          <w:lang w:val="en-US" w:eastAsia="zh-CN"/>
        </w:rPr>
        <w:t>除</w:t>
      </w:r>
      <w:r>
        <w:rPr>
          <w:rFonts w:hint="eastAsia"/>
          <w:highlight w:val="none"/>
        </w:rPr>
        <w:t>部分成交供应商在当年补齐。</w:t>
      </w:r>
    </w:p>
    <w:p>
      <w:pPr>
        <w:ind w:firstLine="480"/>
        <w:rPr>
          <w:highlight w:val="none"/>
        </w:rPr>
      </w:pPr>
      <w:r>
        <w:rPr>
          <w:rFonts w:hint="eastAsia"/>
          <w:highlight w:val="none"/>
        </w:rPr>
        <w:fldChar w:fldCharType="begin"/>
      </w:r>
      <w:r>
        <w:rPr>
          <w:rFonts w:hint="eastAsia"/>
          <w:highlight w:val="none"/>
        </w:rPr>
        <w:instrText xml:space="preserve"> = 3 \* GB3 \* MERGEFORMAT </w:instrText>
      </w:r>
      <w:r>
        <w:rPr>
          <w:rFonts w:hint="eastAsia"/>
          <w:highlight w:val="none"/>
        </w:rPr>
        <w:fldChar w:fldCharType="separate"/>
      </w:r>
      <w:r>
        <w:rPr>
          <w:rFonts w:hint="eastAsia"/>
          <w:highlight w:val="none"/>
        </w:rPr>
        <w:t>③</w:t>
      </w:r>
      <w:r>
        <w:rPr>
          <w:rFonts w:hint="eastAsia"/>
          <w:highlight w:val="none"/>
        </w:rPr>
        <w:fldChar w:fldCharType="end"/>
      </w:r>
      <w:r>
        <w:rPr>
          <w:rFonts w:hint="eastAsia"/>
          <w:highlight w:val="none"/>
        </w:rPr>
        <w:t>合格：</w:t>
      </w:r>
      <w:r>
        <w:rPr>
          <w:rFonts w:hint="eastAsia"/>
          <w:highlight w:val="none"/>
          <w:lang w:val="en-US" w:eastAsia="zh-CN"/>
        </w:rPr>
        <w:t>60分</w:t>
      </w:r>
      <w:r>
        <w:rPr>
          <w:rFonts w:hint="default" w:ascii="Arial" w:hAnsi="Arial" w:cs="Arial"/>
          <w:highlight w:val="none"/>
          <w:lang w:val="en-US" w:eastAsia="zh-CN"/>
        </w:rPr>
        <w:t>≤</w:t>
      </w:r>
      <w:r>
        <w:rPr>
          <w:rFonts w:hint="eastAsia"/>
          <w:highlight w:val="none"/>
        </w:rPr>
        <w:t>考核分</w:t>
      </w:r>
      <w:r>
        <w:rPr>
          <w:rFonts w:hint="eastAsia" w:ascii="微软雅黑" w:hAnsi="微软雅黑" w:eastAsia="微软雅黑" w:cs="微软雅黑"/>
          <w:highlight w:val="none"/>
        </w:rPr>
        <w:t>&lt;</w:t>
      </w:r>
      <w:r>
        <w:rPr>
          <w:rFonts w:hint="eastAsia"/>
          <w:highlight w:val="none"/>
          <w:lang w:val="en-US" w:eastAsia="zh-CN"/>
        </w:rPr>
        <w:t>75分，</w:t>
      </w:r>
      <w:r>
        <w:rPr>
          <w:rFonts w:hint="eastAsia"/>
          <w:highlight w:val="none"/>
        </w:rPr>
        <w:t>扣履约保证金3万元，扣</w:t>
      </w:r>
      <w:r>
        <w:rPr>
          <w:rFonts w:hint="eastAsia"/>
          <w:highlight w:val="none"/>
          <w:lang w:val="en-US" w:eastAsia="zh-CN"/>
        </w:rPr>
        <w:t>除</w:t>
      </w:r>
      <w:r>
        <w:rPr>
          <w:rFonts w:hint="eastAsia"/>
          <w:highlight w:val="none"/>
        </w:rPr>
        <w:t>部分成交供应商在当年补齐。</w:t>
      </w:r>
    </w:p>
    <w:p>
      <w:pPr>
        <w:ind w:firstLine="480"/>
        <w:rPr>
          <w:rFonts w:hint="eastAsia"/>
          <w:highlight w:val="none"/>
        </w:rPr>
      </w:pPr>
      <w:r>
        <w:rPr>
          <w:rFonts w:hint="eastAsia"/>
          <w:highlight w:val="none"/>
        </w:rPr>
        <w:fldChar w:fldCharType="begin"/>
      </w:r>
      <w:r>
        <w:rPr>
          <w:rFonts w:hint="eastAsia"/>
          <w:highlight w:val="none"/>
        </w:rPr>
        <w:instrText xml:space="preserve"> = 4 \* GB3 \* MERGEFORMAT </w:instrText>
      </w:r>
      <w:r>
        <w:rPr>
          <w:rFonts w:hint="eastAsia"/>
          <w:highlight w:val="none"/>
        </w:rPr>
        <w:fldChar w:fldCharType="separate"/>
      </w:r>
      <w:r>
        <w:rPr>
          <w:rFonts w:hint="eastAsia"/>
          <w:highlight w:val="none"/>
        </w:rPr>
        <w:t>④</w:t>
      </w:r>
      <w:r>
        <w:rPr>
          <w:rFonts w:hint="eastAsia"/>
          <w:highlight w:val="none"/>
        </w:rPr>
        <w:fldChar w:fldCharType="end"/>
      </w:r>
      <w:r>
        <w:rPr>
          <w:rFonts w:hint="eastAsia"/>
          <w:highlight w:val="none"/>
        </w:rPr>
        <w:t>不合格：考核分</w:t>
      </w:r>
      <w:r>
        <w:rPr>
          <w:rFonts w:hint="eastAsia" w:ascii="微软雅黑" w:hAnsi="微软雅黑" w:eastAsia="微软雅黑" w:cs="微软雅黑"/>
          <w:highlight w:val="none"/>
        </w:rPr>
        <w:t>&lt;</w:t>
      </w:r>
      <w:r>
        <w:rPr>
          <w:rFonts w:hint="eastAsia" w:eastAsia="微软雅黑"/>
          <w:highlight w:val="none"/>
          <w:lang w:val="en-US" w:eastAsia="zh-CN"/>
        </w:rPr>
        <w:t>60分</w:t>
      </w:r>
      <w:r>
        <w:rPr>
          <w:rFonts w:hint="eastAsia"/>
          <w:highlight w:val="none"/>
          <w:lang w:eastAsia="zh-CN"/>
        </w:rPr>
        <w:t>，</w:t>
      </w:r>
      <w:r>
        <w:rPr>
          <w:rFonts w:hint="eastAsia"/>
          <w:color w:val="000000" w:themeColor="text1"/>
          <w:highlight w:val="none"/>
          <w14:textFill>
            <w14:solidFill>
              <w14:schemeClr w14:val="tx1"/>
            </w14:solidFill>
          </w14:textFill>
        </w:rPr>
        <w:t>采购人</w:t>
      </w:r>
      <w:r>
        <w:rPr>
          <w:rFonts w:hint="eastAsia"/>
          <w:color w:val="000000" w:themeColor="text1"/>
          <w:highlight w:val="none"/>
          <w:lang w:val="en-US" w:eastAsia="zh-CN"/>
          <w14:textFill>
            <w14:solidFill>
              <w14:schemeClr w14:val="tx1"/>
            </w14:solidFill>
          </w14:textFill>
        </w:rPr>
        <w:t>书面通知成交供应商进行整改，如成交供应商不积极响应整改，采购人有权终止合同</w:t>
      </w:r>
      <w:r>
        <w:rPr>
          <w:rFonts w:hint="eastAsia"/>
          <w:highlight w:val="none"/>
        </w:rPr>
        <w:t>。</w:t>
      </w:r>
    </w:p>
    <w:p>
      <w:pPr>
        <w:ind w:firstLine="480"/>
      </w:pPr>
    </w:p>
    <w:p>
      <w:pPr>
        <w:pStyle w:val="2"/>
      </w:pPr>
    </w:p>
    <w:p/>
    <w:p>
      <w:pPr>
        <w:pStyle w:val="2"/>
      </w:pPr>
    </w:p>
    <w:p/>
    <w:p>
      <w:pPr>
        <w:pStyle w:val="2"/>
      </w:pPr>
    </w:p>
    <w:p/>
    <w:p>
      <w:pPr>
        <w:pStyle w:val="2"/>
      </w:pPr>
    </w:p>
    <w:p/>
    <w:p>
      <w:pPr>
        <w:pStyle w:val="3"/>
      </w:pPr>
      <w:bookmarkStart w:id="233" w:name="_Toc12789072"/>
      <w:bookmarkStart w:id="234" w:name="_Toc12812"/>
      <w:bookmarkStart w:id="235" w:name="_Toc20700"/>
      <w:bookmarkStart w:id="236" w:name="_Toc8143"/>
      <w:bookmarkStart w:id="237" w:name="_Toc12228"/>
      <w:bookmarkStart w:id="238" w:name="_Toc466546936"/>
      <w:r>
        <w:rPr>
          <w:rFonts w:hint="eastAsia"/>
        </w:rPr>
        <w:t xml:space="preserve">第七篇  </w:t>
      </w:r>
      <w:bookmarkEnd w:id="233"/>
      <w:r>
        <w:rPr>
          <w:rFonts w:hint="eastAsia"/>
        </w:rPr>
        <w:t>响应文件编制要求</w:t>
      </w:r>
      <w:bookmarkEnd w:id="234"/>
      <w:bookmarkEnd w:id="235"/>
      <w:bookmarkEnd w:id="236"/>
      <w:bookmarkEnd w:id="237"/>
      <w:bookmarkEnd w:id="238"/>
    </w:p>
    <w:p>
      <w:pPr>
        <w:ind w:firstLine="482"/>
        <w:rPr>
          <w:b/>
          <w:bCs/>
        </w:rPr>
      </w:pPr>
      <w:bookmarkStart w:id="239" w:name="_Toc6437"/>
      <w:r>
        <w:rPr>
          <w:rFonts w:hint="eastAsia"/>
          <w:b/>
          <w:bCs/>
        </w:rPr>
        <w:t>一、经济文件</w:t>
      </w:r>
      <w:bookmarkEnd w:id="239"/>
    </w:p>
    <w:p>
      <w:pPr>
        <w:ind w:firstLine="480"/>
      </w:pPr>
      <w:r>
        <w:rPr>
          <w:rFonts w:hint="eastAsia"/>
        </w:rPr>
        <w:t>（一）开标一览表</w:t>
      </w:r>
    </w:p>
    <w:p>
      <w:pPr>
        <w:ind w:firstLine="480"/>
      </w:pPr>
      <w:r>
        <w:rPr>
          <w:rFonts w:hint="eastAsia"/>
        </w:rPr>
        <w:t>（二）分项报价明细表</w:t>
      </w:r>
    </w:p>
    <w:p>
      <w:pPr>
        <w:ind w:firstLine="482"/>
        <w:rPr>
          <w:b/>
          <w:bCs/>
        </w:rPr>
      </w:pPr>
      <w:bookmarkStart w:id="240" w:name="_Toc17664"/>
      <w:r>
        <w:rPr>
          <w:rFonts w:hint="eastAsia"/>
          <w:b/>
          <w:bCs/>
        </w:rPr>
        <w:t>二、项目服务要求文件</w:t>
      </w:r>
      <w:bookmarkEnd w:id="240"/>
    </w:p>
    <w:p>
      <w:pPr>
        <w:ind w:firstLine="480"/>
      </w:pPr>
      <w:r>
        <w:rPr>
          <w:rFonts w:hint="eastAsia"/>
        </w:rPr>
        <w:t>（一）项目服务条款差异表</w:t>
      </w:r>
    </w:p>
    <w:p>
      <w:pPr>
        <w:ind w:firstLine="480"/>
      </w:pPr>
      <w:r>
        <w:rPr>
          <w:rFonts w:hint="eastAsia"/>
        </w:rPr>
        <w:t>（二）其他技术（质量）资料</w:t>
      </w:r>
    </w:p>
    <w:p>
      <w:pPr>
        <w:ind w:firstLine="480"/>
      </w:pPr>
      <w:r>
        <w:rPr>
          <w:rFonts w:hint="eastAsia"/>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ind w:firstLine="482"/>
        <w:rPr>
          <w:b/>
          <w:bCs/>
        </w:rPr>
      </w:pPr>
      <w:bookmarkStart w:id="241" w:name="_Toc24824"/>
      <w:r>
        <w:rPr>
          <w:rFonts w:hint="eastAsia"/>
          <w:b/>
          <w:bCs/>
        </w:rPr>
        <w:t>三、商务文件</w:t>
      </w:r>
      <w:bookmarkEnd w:id="241"/>
    </w:p>
    <w:p>
      <w:pPr>
        <w:ind w:firstLine="480"/>
      </w:pPr>
      <w:r>
        <w:rPr>
          <w:rFonts w:hint="eastAsia"/>
        </w:rPr>
        <w:t>（一）投标函（格式）</w:t>
      </w:r>
    </w:p>
    <w:p>
      <w:pPr>
        <w:ind w:firstLine="480"/>
      </w:pPr>
      <w:r>
        <w:rPr>
          <w:rFonts w:hint="eastAsia"/>
        </w:rPr>
        <w:t>（二）商务条款差异表</w:t>
      </w:r>
    </w:p>
    <w:p>
      <w:pPr>
        <w:ind w:firstLine="480"/>
      </w:pPr>
      <w:r>
        <w:rPr>
          <w:rFonts w:hint="eastAsia"/>
        </w:rPr>
        <w:t>（三）其他商务资料</w:t>
      </w:r>
    </w:p>
    <w:p>
      <w:pPr>
        <w:ind w:firstLine="482"/>
        <w:rPr>
          <w:b/>
          <w:bCs/>
        </w:rPr>
      </w:pPr>
      <w:bookmarkStart w:id="242" w:name="_Toc4012"/>
      <w:r>
        <w:rPr>
          <w:rFonts w:hint="eastAsia"/>
          <w:b/>
          <w:bCs/>
        </w:rPr>
        <w:t>四、其他</w:t>
      </w:r>
      <w:bookmarkEnd w:id="242"/>
    </w:p>
    <w:p>
      <w:pPr>
        <w:ind w:firstLine="480"/>
      </w:pPr>
      <w:r>
        <w:rPr>
          <w:rFonts w:hint="eastAsia"/>
        </w:rPr>
        <w:t>（一）中小企业声明函、监狱企业证明文件、残疾人福利性单位声明函</w:t>
      </w:r>
    </w:p>
    <w:p>
      <w:pPr>
        <w:ind w:firstLine="480"/>
      </w:pPr>
      <w:r>
        <w:rPr>
          <w:rFonts w:hint="eastAsia"/>
        </w:rPr>
        <w:t>（二）其他与项目有关的资料（自附）</w:t>
      </w:r>
    </w:p>
    <w:p>
      <w:pPr>
        <w:ind w:firstLine="482"/>
        <w:rPr>
          <w:b/>
          <w:bCs/>
        </w:rPr>
      </w:pPr>
      <w:bookmarkStart w:id="243" w:name="_Toc6185"/>
      <w:r>
        <w:rPr>
          <w:rFonts w:hint="eastAsia"/>
          <w:b/>
          <w:bCs/>
        </w:rPr>
        <w:t>五、资格文件</w:t>
      </w:r>
      <w:bookmarkEnd w:id="243"/>
    </w:p>
    <w:p>
      <w:pPr>
        <w:ind w:firstLine="480"/>
      </w:pPr>
      <w:r>
        <w:rPr>
          <w:rFonts w:hint="eastAsia"/>
        </w:rPr>
        <w:t>（一）法人营业执照（副本）或事业单位法人证书（副本）或个体工商户营业执照或有效的自然人身份证明或社会团体法人登记证书复印件</w:t>
      </w:r>
    </w:p>
    <w:p>
      <w:pPr>
        <w:ind w:firstLine="480"/>
      </w:pPr>
      <w:r>
        <w:rPr>
          <w:rFonts w:hint="eastAsia"/>
        </w:rPr>
        <w:t>（二）法定代表人身份证明书（格式）</w:t>
      </w:r>
    </w:p>
    <w:p>
      <w:pPr>
        <w:ind w:firstLine="480"/>
      </w:pPr>
      <w:r>
        <w:rPr>
          <w:rFonts w:hint="eastAsia"/>
        </w:rPr>
        <w:t>（三）法定代表人授权委托书（格式）</w:t>
      </w:r>
    </w:p>
    <w:p>
      <w:pPr>
        <w:ind w:firstLine="480"/>
      </w:pPr>
      <w:r>
        <w:rPr>
          <w:rFonts w:hint="eastAsia"/>
        </w:rPr>
        <w:t>（四）基本资格条件承诺函（格式）</w:t>
      </w:r>
    </w:p>
    <w:p>
      <w:pPr>
        <w:ind w:firstLine="480"/>
      </w:pPr>
      <w:bookmarkStart w:id="244" w:name="_Toc76373908"/>
      <w:bookmarkStart w:id="245" w:name="_Toc11154"/>
      <w:bookmarkStart w:id="246" w:name="_Toc123227069"/>
      <w:bookmarkStart w:id="247" w:name="_Toc24423"/>
      <w:bookmarkStart w:id="248" w:name="_Toc4248"/>
      <w:bookmarkStart w:id="249" w:name="_Toc429584884"/>
      <w:bookmarkStart w:id="250" w:name="_Toc1215"/>
      <w:r>
        <w:rPr>
          <w:rFonts w:hint="eastAsia"/>
        </w:rPr>
        <w:br w:type="page"/>
      </w:r>
    </w:p>
    <w:p>
      <w:pPr>
        <w:pStyle w:val="4"/>
        <w:jc w:val="center"/>
      </w:pPr>
      <w:bookmarkStart w:id="251" w:name="_Toc27602"/>
      <w:bookmarkStart w:id="252" w:name="_Toc23974"/>
      <w:bookmarkStart w:id="253" w:name="_Toc16409"/>
      <w:r>
        <w:rPr>
          <w:rFonts w:hint="eastAsia"/>
        </w:rPr>
        <w:t>一、经济文件</w:t>
      </w:r>
      <w:bookmarkEnd w:id="244"/>
      <w:bookmarkEnd w:id="245"/>
      <w:bookmarkEnd w:id="246"/>
      <w:bookmarkEnd w:id="247"/>
      <w:bookmarkEnd w:id="248"/>
      <w:bookmarkEnd w:id="249"/>
      <w:bookmarkEnd w:id="250"/>
      <w:bookmarkEnd w:id="251"/>
      <w:bookmarkEnd w:id="252"/>
      <w:bookmarkEnd w:id="253"/>
    </w:p>
    <w:p>
      <w:pPr>
        <w:pStyle w:val="2"/>
        <w:jc w:val="center"/>
      </w:pPr>
      <w:bookmarkStart w:id="254" w:name="_Toc9256"/>
      <w:bookmarkStart w:id="255" w:name="_Toc29049"/>
      <w:bookmarkStart w:id="256" w:name="_Toc6678"/>
      <w:r>
        <w:rPr>
          <w:rFonts w:hint="eastAsia"/>
        </w:rPr>
        <w:t>（一）开标一览表</w:t>
      </w:r>
      <w:bookmarkEnd w:id="254"/>
      <w:bookmarkEnd w:id="255"/>
      <w:bookmarkEnd w:id="256"/>
    </w:p>
    <w:p>
      <w:pPr>
        <w:ind w:firstLine="480"/>
      </w:pPr>
      <w:r>
        <w:rPr>
          <w:rFonts w:hint="eastAsia"/>
        </w:rPr>
        <w:t>项目号：</w:t>
      </w:r>
    </w:p>
    <w:p>
      <w:pPr>
        <w:ind w:firstLine="480"/>
      </w:pPr>
      <w:r>
        <w:rPr>
          <w:rFonts w:hint="eastAsia"/>
        </w:rPr>
        <w:t>招标项目名称：</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1788" w:type="dxa"/>
            <w:vAlign w:val="center"/>
          </w:tcPr>
          <w:p>
            <w:pPr>
              <w:pStyle w:val="25"/>
            </w:pPr>
            <w:r>
              <w:rPr>
                <w:rFonts w:hint="eastAsia"/>
              </w:rPr>
              <w:t>投标人名称</w:t>
            </w:r>
          </w:p>
        </w:tc>
        <w:tc>
          <w:tcPr>
            <w:tcW w:w="7840" w:type="dxa"/>
            <w:gridSpan w:val="3"/>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3936" w:type="dxa"/>
            <w:gridSpan w:val="2"/>
            <w:vAlign w:val="center"/>
          </w:tcPr>
          <w:p>
            <w:pPr>
              <w:pStyle w:val="25"/>
            </w:pPr>
            <w:r>
              <w:rPr>
                <w:rFonts w:hint="eastAsia"/>
              </w:rPr>
              <w:t>包号及名称</w:t>
            </w:r>
          </w:p>
        </w:tc>
        <w:tc>
          <w:tcPr>
            <w:tcW w:w="932" w:type="dxa"/>
            <w:vAlign w:val="center"/>
          </w:tcPr>
          <w:p>
            <w:pPr>
              <w:pStyle w:val="25"/>
            </w:pPr>
            <w:r>
              <w:rPr>
                <w:rFonts w:hint="eastAsia"/>
              </w:rPr>
              <w:t>数量</w:t>
            </w:r>
          </w:p>
        </w:tc>
        <w:tc>
          <w:tcPr>
            <w:tcW w:w="4760" w:type="dxa"/>
            <w:vAlign w:val="center"/>
          </w:tcPr>
          <w:p>
            <w:pPr>
              <w:pStyle w:val="25"/>
            </w:pPr>
            <w:r>
              <w:rPr>
                <w:rFonts w:hint="eastAsia"/>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3936" w:type="dxa"/>
            <w:gridSpan w:val="2"/>
            <w:tcBorders>
              <w:bottom w:val="single" w:color="auto" w:sz="4" w:space="0"/>
            </w:tcBorders>
            <w:vAlign w:val="center"/>
          </w:tcPr>
          <w:p>
            <w:pPr>
              <w:pStyle w:val="25"/>
            </w:pPr>
          </w:p>
        </w:tc>
        <w:tc>
          <w:tcPr>
            <w:tcW w:w="932" w:type="dxa"/>
            <w:tcBorders>
              <w:bottom w:val="single" w:color="auto" w:sz="4" w:space="0"/>
            </w:tcBorders>
          </w:tcPr>
          <w:p>
            <w:pPr>
              <w:pStyle w:val="25"/>
            </w:pPr>
          </w:p>
        </w:tc>
        <w:tc>
          <w:tcPr>
            <w:tcW w:w="4760" w:type="dxa"/>
            <w:tcBorders>
              <w:bottom w:val="single" w:color="auto" w:sz="4" w:space="0"/>
            </w:tcBorders>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jc w:val="center"/>
        </w:trPr>
        <w:tc>
          <w:tcPr>
            <w:tcW w:w="9628" w:type="dxa"/>
            <w:gridSpan w:val="4"/>
            <w:tcBorders>
              <w:bottom w:val="single" w:color="auto" w:sz="4" w:space="0"/>
            </w:tcBorders>
            <w:vAlign w:val="center"/>
          </w:tcPr>
          <w:p>
            <w:pPr>
              <w:pStyle w:val="25"/>
            </w:pPr>
            <w:r>
              <w:rPr>
                <w:rFonts w:hint="eastAsia"/>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628" w:type="dxa"/>
            <w:gridSpan w:val="4"/>
            <w:vAlign w:val="center"/>
          </w:tcPr>
          <w:p>
            <w:pPr>
              <w:pStyle w:val="25"/>
            </w:pPr>
            <w:r>
              <w:rPr>
                <w:rFonts w:hint="eastAsia"/>
              </w:rPr>
              <w:t>备注：</w:t>
            </w:r>
          </w:p>
        </w:tc>
      </w:tr>
    </w:tbl>
    <w:p>
      <w:pPr>
        <w:pStyle w:val="12"/>
        <w:spacing w:line="500" w:lineRule="exact"/>
        <w:ind w:firstLine="480"/>
      </w:pPr>
    </w:p>
    <w:p>
      <w:pPr>
        <w:ind w:firstLine="480"/>
      </w:pPr>
    </w:p>
    <w:p>
      <w:pPr>
        <w:spacing w:line="500" w:lineRule="exact"/>
        <w:ind w:firstLine="480"/>
      </w:pPr>
    </w:p>
    <w:p>
      <w:pPr>
        <w:ind w:firstLine="480"/>
      </w:pPr>
      <w:r>
        <w:rPr>
          <w:rFonts w:hint="eastAsia"/>
        </w:rPr>
        <w:t>投标人：              法定代表人（或法定代表人授权代表）或自然人：</w:t>
      </w:r>
    </w:p>
    <w:p>
      <w:pPr>
        <w:ind w:firstLine="480"/>
      </w:pPr>
      <w:r>
        <w:rPr>
          <w:rFonts w:hint="eastAsia"/>
        </w:rPr>
        <w:t xml:space="preserve">  （投标人公章）                         （签署或盖章）</w:t>
      </w:r>
    </w:p>
    <w:p>
      <w:pPr>
        <w:ind w:firstLine="480"/>
      </w:pPr>
    </w:p>
    <w:p>
      <w:pPr>
        <w:ind w:firstLine="480"/>
      </w:pPr>
    </w:p>
    <w:p>
      <w:pPr>
        <w:ind w:firstLine="480"/>
      </w:pPr>
      <w:r>
        <w:rPr>
          <w:rFonts w:hint="eastAsia"/>
        </w:rPr>
        <w:t xml:space="preserve">                                            年     月     日</w:t>
      </w:r>
    </w:p>
    <w:p>
      <w:pPr>
        <w:snapToGrid w:val="0"/>
        <w:spacing w:line="500" w:lineRule="exact"/>
        <w:ind w:firstLine="480"/>
      </w:pPr>
    </w:p>
    <w:p>
      <w:pPr>
        <w:snapToGrid w:val="0"/>
        <w:spacing w:line="500" w:lineRule="exact"/>
        <w:ind w:firstLine="480"/>
      </w:pPr>
    </w:p>
    <w:p>
      <w:pPr>
        <w:ind w:firstLine="480"/>
      </w:pPr>
    </w:p>
    <w:p>
      <w:pPr>
        <w:ind w:firstLine="480"/>
      </w:pPr>
      <w:r>
        <w:rPr>
          <w:rFonts w:hint="eastAsia"/>
        </w:rPr>
        <w:t>说明：</w:t>
      </w:r>
    </w:p>
    <w:p>
      <w:pPr>
        <w:ind w:firstLine="480"/>
      </w:pPr>
      <w:r>
        <w:rPr>
          <w:rFonts w:hint="eastAsia"/>
        </w:rPr>
        <w:t>1.开标一览表按格式填列；</w:t>
      </w:r>
    </w:p>
    <w:p>
      <w:pPr>
        <w:ind w:firstLine="480"/>
      </w:pPr>
      <w:r>
        <w:rPr>
          <w:rFonts w:hint="eastAsia"/>
        </w:rPr>
        <w:t>2.开标一览表在开标大会上当众宣读，务必填写清楚，准确无误。</w:t>
      </w:r>
    </w:p>
    <w:p>
      <w:pPr>
        <w:snapToGrid w:val="0"/>
        <w:spacing w:line="400" w:lineRule="exact"/>
        <w:ind w:firstLine="480"/>
      </w:pPr>
    </w:p>
    <w:p>
      <w:pPr>
        <w:ind w:firstLine="480"/>
      </w:pPr>
      <w:r>
        <w:rPr>
          <w:rFonts w:hint="eastAsia"/>
        </w:rPr>
        <w:br w:type="page"/>
      </w:r>
    </w:p>
    <w:p>
      <w:pPr>
        <w:pStyle w:val="2"/>
        <w:jc w:val="center"/>
      </w:pPr>
      <w:bookmarkStart w:id="257" w:name="_Toc12707"/>
      <w:bookmarkStart w:id="258" w:name="_Toc64"/>
      <w:bookmarkStart w:id="259" w:name="_Toc14637"/>
      <w:r>
        <w:rPr>
          <w:rFonts w:hint="eastAsia"/>
        </w:rPr>
        <w:t>（二）分项报价明细表</w:t>
      </w:r>
      <w:bookmarkEnd w:id="257"/>
      <w:bookmarkEnd w:id="258"/>
      <w:bookmarkEnd w:id="259"/>
    </w:p>
    <w:p>
      <w:pPr>
        <w:snapToGrid w:val="0"/>
        <w:spacing w:line="400" w:lineRule="exact"/>
        <w:ind w:firstLine="480"/>
      </w:pPr>
      <w:r>
        <w:rPr>
          <w:rFonts w:hint="eastAsia"/>
        </w:rPr>
        <w:t>项目号：</w:t>
      </w:r>
    </w:p>
    <w:p>
      <w:pPr>
        <w:snapToGrid w:val="0"/>
        <w:spacing w:line="400" w:lineRule="exact"/>
        <w:ind w:firstLine="480"/>
      </w:pPr>
      <w:r>
        <w:rPr>
          <w:rFonts w:hint="eastAsia"/>
        </w:rPr>
        <w:t>招标项目名称：                                           单位：元</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1115"/>
        <w:gridCol w:w="1964"/>
        <w:gridCol w:w="907"/>
        <w:gridCol w:w="907"/>
        <w:gridCol w:w="907"/>
        <w:gridCol w:w="907"/>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532" w:type="pct"/>
            <w:vAlign w:val="center"/>
          </w:tcPr>
          <w:p>
            <w:pPr>
              <w:pStyle w:val="25"/>
            </w:pPr>
            <w:r>
              <w:rPr>
                <w:rFonts w:hint="eastAsia"/>
              </w:rPr>
              <w:t>d'd'd'd'd'd'd'd'd'd'd'd'd'd'd'd'd'd'd</w:t>
            </w:r>
          </w:p>
        </w:tc>
        <w:tc>
          <w:tcPr>
            <w:tcW w:w="654" w:type="pct"/>
            <w:vAlign w:val="center"/>
          </w:tcPr>
          <w:p>
            <w:pPr>
              <w:pStyle w:val="25"/>
            </w:pPr>
          </w:p>
        </w:tc>
        <w:tc>
          <w:tcPr>
            <w:tcW w:w="1152" w:type="pct"/>
            <w:vAlign w:val="center"/>
          </w:tcPr>
          <w:p>
            <w:pPr>
              <w:pStyle w:val="25"/>
            </w:pPr>
          </w:p>
        </w:tc>
        <w:tc>
          <w:tcPr>
            <w:tcW w:w="532" w:type="pct"/>
            <w:vAlign w:val="center"/>
          </w:tcPr>
          <w:p>
            <w:pPr>
              <w:pStyle w:val="25"/>
            </w:pPr>
          </w:p>
        </w:tc>
        <w:tc>
          <w:tcPr>
            <w:tcW w:w="532" w:type="pct"/>
            <w:vAlign w:val="center"/>
          </w:tcPr>
          <w:p>
            <w:pPr>
              <w:pStyle w:val="25"/>
            </w:pPr>
          </w:p>
        </w:tc>
        <w:tc>
          <w:tcPr>
            <w:tcW w:w="532" w:type="pct"/>
            <w:vAlign w:val="center"/>
          </w:tcPr>
          <w:p>
            <w:pPr>
              <w:pStyle w:val="25"/>
            </w:pPr>
          </w:p>
        </w:tc>
        <w:tc>
          <w:tcPr>
            <w:tcW w:w="532" w:type="pct"/>
            <w:vAlign w:val="center"/>
          </w:tcPr>
          <w:p>
            <w:pPr>
              <w:pStyle w:val="25"/>
            </w:pPr>
          </w:p>
        </w:tc>
        <w:tc>
          <w:tcPr>
            <w:tcW w:w="532"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1</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2</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3</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4</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5</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6</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7</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8</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9</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10</w:t>
            </w:r>
          </w:p>
        </w:tc>
        <w:tc>
          <w:tcPr>
            <w:tcW w:w="654" w:type="pct"/>
            <w:vAlign w:val="center"/>
          </w:tcPr>
          <w:p>
            <w:pPr>
              <w:pStyle w:val="25"/>
            </w:pP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rPr>
                <w:rFonts w:hint="eastAsia"/>
              </w:rPr>
              <w:t>11</w:t>
            </w:r>
          </w:p>
        </w:tc>
        <w:tc>
          <w:tcPr>
            <w:tcW w:w="654" w:type="pct"/>
            <w:vAlign w:val="center"/>
          </w:tcPr>
          <w:p>
            <w:pPr>
              <w:pStyle w:val="25"/>
            </w:pPr>
            <w:r>
              <w:rPr>
                <w:rFonts w:hint="eastAsia"/>
              </w:rPr>
              <w:t>……</w:t>
            </w:r>
          </w:p>
        </w:tc>
        <w:tc>
          <w:tcPr>
            <w:tcW w:w="1152" w:type="pct"/>
          </w:tcPr>
          <w:p>
            <w:pPr>
              <w:pStyle w:val="25"/>
            </w:pPr>
          </w:p>
        </w:tc>
        <w:tc>
          <w:tcPr>
            <w:tcW w:w="532" w:type="pct"/>
          </w:tcPr>
          <w:p>
            <w:pPr>
              <w:pStyle w:val="25"/>
            </w:pPr>
          </w:p>
        </w:tc>
        <w:tc>
          <w:tcPr>
            <w:tcW w:w="532" w:type="pct"/>
          </w:tcPr>
          <w:p>
            <w:pPr>
              <w:pStyle w:val="25"/>
            </w:pPr>
          </w:p>
        </w:tc>
        <w:tc>
          <w:tcPr>
            <w:tcW w:w="532" w:type="pct"/>
            <w:vAlign w:val="center"/>
          </w:tcPr>
          <w:p>
            <w:pPr>
              <w:pStyle w:val="25"/>
            </w:pPr>
            <w:r>
              <w:rPr>
                <w:rFonts w:hint="eastAsia"/>
              </w:rPr>
              <w:t>/</w:t>
            </w:r>
          </w:p>
        </w:tc>
        <w:tc>
          <w:tcPr>
            <w:tcW w:w="532" w:type="pct"/>
          </w:tcPr>
          <w:p>
            <w:pPr>
              <w:pStyle w:val="25"/>
            </w:pPr>
          </w:p>
        </w:tc>
        <w:tc>
          <w:tcPr>
            <w:tcW w:w="532" w:type="pct"/>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32" w:type="pct"/>
            <w:vAlign w:val="center"/>
          </w:tcPr>
          <w:p>
            <w:pPr>
              <w:pStyle w:val="25"/>
            </w:pPr>
            <w:r>
              <w:t>12</w:t>
            </w:r>
          </w:p>
        </w:tc>
        <w:tc>
          <w:tcPr>
            <w:tcW w:w="654" w:type="pct"/>
            <w:vAlign w:val="center"/>
          </w:tcPr>
          <w:p>
            <w:pPr>
              <w:pStyle w:val="25"/>
            </w:pPr>
            <w:r>
              <w:t>总计</w:t>
            </w:r>
          </w:p>
        </w:tc>
        <w:tc>
          <w:tcPr>
            <w:tcW w:w="3813" w:type="pct"/>
            <w:gridSpan w:val="6"/>
          </w:tcPr>
          <w:p>
            <w:pPr>
              <w:pStyle w:val="25"/>
            </w:pPr>
          </w:p>
        </w:tc>
      </w:tr>
    </w:tbl>
    <w:p>
      <w:pPr>
        <w:spacing w:line="500" w:lineRule="exact"/>
        <w:ind w:firstLine="480"/>
      </w:pPr>
    </w:p>
    <w:p>
      <w:pPr>
        <w:spacing w:line="500" w:lineRule="exact"/>
        <w:ind w:firstLine="600" w:firstLineChars="250"/>
      </w:pPr>
      <w:r>
        <w:rPr>
          <w:rFonts w:hint="eastAsia"/>
        </w:rPr>
        <w:t>投标人：                       法定代表人（或法定代表人授权代表）或自然人：</w:t>
      </w:r>
    </w:p>
    <w:p>
      <w:pPr>
        <w:spacing w:line="500" w:lineRule="exact"/>
        <w:ind w:firstLine="480"/>
      </w:pPr>
      <w:r>
        <w:rPr>
          <w:rFonts w:hint="eastAsia"/>
        </w:rPr>
        <w:t xml:space="preserve">  （投标人公章）                               （签署或盖章）</w:t>
      </w:r>
    </w:p>
    <w:p>
      <w:pPr>
        <w:spacing w:line="500" w:lineRule="exact"/>
        <w:ind w:firstLine="480"/>
      </w:pPr>
    </w:p>
    <w:p>
      <w:pPr>
        <w:spacing w:line="500" w:lineRule="exact"/>
        <w:ind w:firstLine="480"/>
      </w:pPr>
    </w:p>
    <w:p>
      <w:pPr>
        <w:snapToGrid w:val="0"/>
        <w:spacing w:line="500" w:lineRule="exact"/>
        <w:ind w:firstLine="480"/>
      </w:pPr>
      <w:r>
        <w:rPr>
          <w:rFonts w:hint="eastAsia"/>
        </w:rPr>
        <w:t xml:space="preserve">                                            年     月     日</w:t>
      </w:r>
    </w:p>
    <w:p>
      <w:pPr>
        <w:snapToGrid w:val="0"/>
        <w:spacing w:line="500" w:lineRule="exact"/>
        <w:ind w:firstLine="480"/>
      </w:pPr>
    </w:p>
    <w:p>
      <w:pPr>
        <w:snapToGrid w:val="0"/>
        <w:spacing w:line="500" w:lineRule="exact"/>
        <w:ind w:firstLine="480"/>
      </w:pPr>
      <w:r>
        <w:rPr>
          <w:rFonts w:hint="eastAsia"/>
        </w:rPr>
        <w:t>注：</w:t>
      </w:r>
    </w:p>
    <w:p>
      <w:pPr>
        <w:snapToGrid w:val="0"/>
        <w:spacing w:line="500" w:lineRule="exact"/>
        <w:ind w:firstLine="480"/>
      </w:pPr>
      <w:r>
        <w:rPr>
          <w:rFonts w:hint="eastAsia"/>
        </w:rPr>
        <w:t>1.请投标人完整填写本表；</w:t>
      </w:r>
    </w:p>
    <w:p>
      <w:pPr>
        <w:snapToGrid w:val="0"/>
        <w:spacing w:line="500" w:lineRule="exact"/>
        <w:ind w:firstLine="480"/>
      </w:pPr>
      <w:r>
        <w:rPr>
          <w:rFonts w:hint="eastAsia"/>
        </w:rPr>
        <w:t>2.该表可扩展。</w:t>
      </w:r>
    </w:p>
    <w:p>
      <w:pPr>
        <w:ind w:firstLine="480"/>
      </w:pPr>
      <w:bookmarkStart w:id="260" w:name="_Toc27306"/>
      <w:bookmarkStart w:id="261" w:name="_Toc9795"/>
      <w:bookmarkStart w:id="262" w:name="_Toc493178790"/>
      <w:bookmarkStart w:id="263" w:name="_Toc76373909"/>
      <w:bookmarkStart w:id="264" w:name="_Toc21830"/>
      <w:bookmarkStart w:id="265" w:name="_Toc21431"/>
      <w:bookmarkStart w:id="266" w:name="_Toc123227070"/>
      <w:r>
        <w:rPr>
          <w:rFonts w:hint="eastAsia"/>
        </w:rPr>
        <w:br w:type="page"/>
      </w:r>
    </w:p>
    <w:p>
      <w:pPr>
        <w:pStyle w:val="4"/>
        <w:jc w:val="center"/>
      </w:pPr>
      <w:bookmarkStart w:id="267" w:name="_Toc9373"/>
      <w:bookmarkStart w:id="268" w:name="_Toc29424"/>
      <w:bookmarkStart w:id="269" w:name="_Toc19752"/>
      <w:r>
        <w:rPr>
          <w:rFonts w:hint="eastAsia"/>
        </w:rPr>
        <w:t>二、</w:t>
      </w:r>
      <w:bookmarkEnd w:id="260"/>
      <w:bookmarkEnd w:id="261"/>
      <w:bookmarkEnd w:id="262"/>
      <w:bookmarkEnd w:id="263"/>
      <w:bookmarkEnd w:id="264"/>
      <w:bookmarkEnd w:id="265"/>
      <w:r>
        <w:rPr>
          <w:rFonts w:hint="eastAsia"/>
        </w:rPr>
        <w:t>技术（质量）文件</w:t>
      </w:r>
      <w:bookmarkEnd w:id="266"/>
      <w:bookmarkEnd w:id="267"/>
      <w:bookmarkEnd w:id="268"/>
      <w:bookmarkEnd w:id="269"/>
    </w:p>
    <w:p>
      <w:pPr>
        <w:pStyle w:val="2"/>
        <w:jc w:val="center"/>
      </w:pPr>
      <w:bookmarkStart w:id="270" w:name="_Toc993"/>
      <w:bookmarkStart w:id="271" w:name="_Toc12648"/>
      <w:bookmarkStart w:id="272" w:name="_Toc24636"/>
      <w:r>
        <w:rPr>
          <w:rFonts w:hint="eastAsia"/>
        </w:rPr>
        <w:t>（一）技术（质量）条款差异表</w:t>
      </w:r>
      <w:bookmarkEnd w:id="270"/>
      <w:bookmarkEnd w:id="271"/>
      <w:bookmarkEnd w:id="272"/>
    </w:p>
    <w:p>
      <w:pPr>
        <w:ind w:firstLine="480"/>
      </w:pPr>
      <w:r>
        <w:rPr>
          <w:rFonts w:hint="eastAsia"/>
        </w:rPr>
        <w:t>项目号：</w:t>
      </w:r>
    </w:p>
    <w:p>
      <w:pPr>
        <w:ind w:firstLine="480"/>
      </w:pPr>
      <w:r>
        <w:rPr>
          <w:rFonts w:hint="eastAsia"/>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8"/>
        <w:gridCol w:w="2727"/>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pStyle w:val="25"/>
            </w:pPr>
            <w:r>
              <w:rPr>
                <w:rFonts w:hint="eastAsia"/>
              </w:rPr>
              <w:t>序号</w:t>
            </w:r>
          </w:p>
        </w:tc>
        <w:tc>
          <w:tcPr>
            <w:tcW w:w="1542" w:type="pct"/>
            <w:vAlign w:val="center"/>
          </w:tcPr>
          <w:p>
            <w:pPr>
              <w:pStyle w:val="25"/>
            </w:pPr>
            <w:r>
              <w:rPr>
                <w:rFonts w:hint="eastAsia"/>
              </w:rPr>
              <w:t>招标要求</w:t>
            </w:r>
          </w:p>
        </w:tc>
        <w:tc>
          <w:tcPr>
            <w:tcW w:w="1600" w:type="pct"/>
            <w:vAlign w:val="center"/>
          </w:tcPr>
          <w:p>
            <w:pPr>
              <w:pStyle w:val="25"/>
            </w:pPr>
            <w:r>
              <w:rPr>
                <w:rFonts w:hint="eastAsia"/>
              </w:rPr>
              <w:t>投标应答</w:t>
            </w:r>
          </w:p>
        </w:tc>
        <w:tc>
          <w:tcPr>
            <w:tcW w:w="1199" w:type="pct"/>
            <w:vAlign w:val="center"/>
          </w:tcPr>
          <w:p>
            <w:pPr>
              <w:pStyle w:val="25"/>
            </w:pPr>
            <w:r>
              <w:rPr>
                <w:rFonts w:hint="eastAsi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r>
              <w:rPr>
                <w:rFonts w:hint="eastAsia"/>
              </w:rPr>
              <w:t>提醒：请注明技术参数或具体内容以及投标文件中技术参数或具体内容的位置（页码）</w:t>
            </w: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2" w:type="pct"/>
            <w:vAlign w:val="center"/>
          </w:tcPr>
          <w:p>
            <w:pPr>
              <w:pStyle w:val="25"/>
            </w:pPr>
          </w:p>
        </w:tc>
        <w:tc>
          <w:tcPr>
            <w:tcW w:w="1600" w:type="pct"/>
            <w:vAlign w:val="center"/>
          </w:tcPr>
          <w:p>
            <w:pPr>
              <w:pStyle w:val="25"/>
            </w:pPr>
          </w:p>
        </w:tc>
        <w:tc>
          <w:tcPr>
            <w:tcW w:w="1199" w:type="pct"/>
            <w:vAlign w:val="center"/>
          </w:tcPr>
          <w:p>
            <w:pPr>
              <w:pStyle w:val="25"/>
            </w:pPr>
          </w:p>
        </w:tc>
      </w:tr>
    </w:tbl>
    <w:p>
      <w:pPr>
        <w:ind w:firstLine="480"/>
      </w:pPr>
      <w:r>
        <w:rPr>
          <w:rFonts w:hint="eastAsia"/>
        </w:rPr>
        <w:t>注：</w:t>
      </w:r>
    </w:p>
    <w:p>
      <w:pPr>
        <w:ind w:firstLine="480"/>
      </w:pPr>
      <w:r>
        <w:rPr>
          <w:rFonts w:hint="eastAsia"/>
        </w:rPr>
        <w:t>1.本表即为对本项目“第二篇  项目技术（质量）需求”中所列条款进行比较和响应，；</w:t>
      </w:r>
    </w:p>
    <w:p>
      <w:pPr>
        <w:ind w:firstLine="480"/>
      </w:pPr>
      <w:r>
        <w:rPr>
          <w:rFonts w:hint="eastAsia"/>
        </w:rPr>
        <w:t>2.本表可扩展；</w:t>
      </w:r>
    </w:p>
    <w:p>
      <w:pPr>
        <w:ind w:firstLine="480"/>
      </w:pPr>
      <w:r>
        <w:rPr>
          <w:rFonts w:hint="eastAsia"/>
        </w:rPr>
        <w:t>3.可附相关技术支撑材料。（格式自定）</w:t>
      </w:r>
    </w:p>
    <w:p>
      <w:pPr>
        <w:ind w:firstLine="480"/>
      </w:pPr>
      <w:r>
        <w:rPr>
          <w:rFonts w:hint="eastAsia"/>
        </w:rPr>
        <w:t>4.投标应答栏中应当注明技术参数或具体内容，且必须标注技术参数或具体内容在投标文件中的位置（页码）。</w:t>
      </w:r>
    </w:p>
    <w:p>
      <w:pPr>
        <w:ind w:firstLine="480"/>
      </w:pPr>
      <w:r>
        <w:rPr>
          <w:rFonts w:hint="eastAsia"/>
        </w:rPr>
        <w:br w:type="page"/>
      </w:r>
    </w:p>
    <w:p>
      <w:pPr>
        <w:pStyle w:val="2"/>
        <w:jc w:val="center"/>
      </w:pPr>
      <w:bookmarkStart w:id="273" w:name="_Toc27502"/>
      <w:bookmarkStart w:id="274" w:name="_Toc23634"/>
      <w:bookmarkStart w:id="275" w:name="_Toc16309"/>
      <w:r>
        <w:rPr>
          <w:rFonts w:hint="eastAsia"/>
        </w:rPr>
        <w:t>（二）其他技术（质量）资料</w:t>
      </w:r>
      <w:bookmarkEnd w:id="273"/>
      <w:bookmarkEnd w:id="274"/>
      <w:bookmarkEnd w:id="275"/>
    </w:p>
    <w:p>
      <w:pPr>
        <w:ind w:firstLine="480"/>
      </w:pPr>
    </w:p>
    <w:p>
      <w:pPr>
        <w:ind w:firstLine="480"/>
      </w:pPr>
      <w:r>
        <w:rPr>
          <w:rFonts w:hint="eastAsia"/>
        </w:rPr>
        <w:t>（三）所投产品属于《财政部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ind w:firstLine="480"/>
      </w:pPr>
      <w:r>
        <w:rPr>
          <w:rFonts w:hint="eastAsia"/>
        </w:rPr>
        <w:t>说明：</w:t>
      </w:r>
    </w:p>
    <w:p>
      <w:pPr>
        <w:ind w:firstLine="480"/>
      </w:pPr>
      <w:r>
        <w:rPr>
          <w:rFonts w:hint="eastAsia"/>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ind w:firstLine="480"/>
      </w:pPr>
      <w:r>
        <w:rPr>
          <w:rFonts w:hint="eastAsia"/>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480"/>
        <w:rPr>
          <w:szCs w:val="24"/>
        </w:rPr>
      </w:pPr>
    </w:p>
    <w:p>
      <w:pPr>
        <w:ind w:firstLine="480"/>
      </w:pPr>
      <w:bookmarkStart w:id="276" w:name="_Toc16487"/>
      <w:bookmarkStart w:id="277" w:name="_Toc493178791"/>
      <w:bookmarkStart w:id="278" w:name="_Toc76373910"/>
      <w:bookmarkStart w:id="279" w:name="_Toc411"/>
      <w:bookmarkStart w:id="280" w:name="_Toc20875"/>
      <w:bookmarkStart w:id="281" w:name="_Toc123227071"/>
      <w:bookmarkStart w:id="282" w:name="_Toc492721039"/>
      <w:bookmarkStart w:id="283" w:name="_Toc12647"/>
      <w:r>
        <w:rPr>
          <w:rFonts w:hint="eastAsia"/>
        </w:rPr>
        <w:br w:type="page"/>
      </w:r>
    </w:p>
    <w:p>
      <w:pPr>
        <w:pStyle w:val="4"/>
        <w:jc w:val="center"/>
      </w:pPr>
      <w:bookmarkStart w:id="284" w:name="_Toc23708"/>
      <w:bookmarkStart w:id="285" w:name="_Toc8030"/>
      <w:bookmarkStart w:id="286" w:name="_Toc20437"/>
      <w:r>
        <w:rPr>
          <w:rFonts w:hint="eastAsia"/>
        </w:rPr>
        <w:t>三、商务文件</w:t>
      </w:r>
      <w:bookmarkEnd w:id="276"/>
      <w:bookmarkEnd w:id="277"/>
      <w:bookmarkEnd w:id="278"/>
      <w:bookmarkEnd w:id="279"/>
      <w:bookmarkEnd w:id="280"/>
      <w:bookmarkEnd w:id="281"/>
      <w:bookmarkEnd w:id="282"/>
      <w:bookmarkEnd w:id="283"/>
      <w:bookmarkEnd w:id="284"/>
      <w:bookmarkEnd w:id="285"/>
      <w:bookmarkEnd w:id="286"/>
    </w:p>
    <w:p>
      <w:pPr>
        <w:pStyle w:val="2"/>
        <w:jc w:val="center"/>
      </w:pPr>
      <w:bookmarkStart w:id="287" w:name="_Toc27086"/>
      <w:bookmarkStart w:id="288" w:name="_Toc26255"/>
      <w:bookmarkStart w:id="289" w:name="_Toc10739"/>
      <w:r>
        <w:rPr>
          <w:rFonts w:hint="eastAsia"/>
        </w:rPr>
        <w:t>（一）投标函（格式）</w:t>
      </w:r>
      <w:bookmarkEnd w:id="287"/>
      <w:bookmarkEnd w:id="288"/>
      <w:bookmarkEnd w:id="289"/>
    </w:p>
    <w:p>
      <w:pPr>
        <w:spacing w:line="500" w:lineRule="exact"/>
        <w:ind w:firstLine="480"/>
      </w:pPr>
    </w:p>
    <w:p>
      <w:pPr>
        <w:ind w:firstLine="480"/>
      </w:pPr>
      <w:r>
        <w:rPr>
          <w:rFonts w:hint="eastAsia"/>
        </w:rPr>
        <w:t>招标项目名称：</w:t>
      </w:r>
      <w:r>
        <w:rPr>
          <w:rFonts w:hint="eastAsia"/>
          <w:u w:val="single"/>
        </w:rPr>
        <w:t xml:space="preserve">                                             </w:t>
      </w:r>
    </w:p>
    <w:p>
      <w:pPr>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（投标人名称）系中华人民共和国合法企业，注册地址：</w:t>
      </w:r>
      <w:r>
        <w:rPr>
          <w:rFonts w:hint="eastAsia"/>
          <w:u w:val="single"/>
        </w:rPr>
        <w:t xml:space="preserve">                               </w:t>
      </w:r>
      <w:r>
        <w:rPr>
          <w:rFonts w:hint="eastAsia"/>
        </w:rPr>
        <w:t>。我方就参加本次投标有关事项郑重声明如下：</w:t>
      </w:r>
    </w:p>
    <w:p>
      <w:pPr>
        <w:ind w:firstLine="480"/>
      </w:pPr>
      <w:r>
        <w:rPr>
          <w:rFonts w:hint="eastAsia"/>
        </w:rPr>
        <w:t>一、我方完全理解并接受该项目招标文件所有要求。</w:t>
      </w:r>
    </w:p>
    <w:p>
      <w:pPr>
        <w:ind w:firstLine="480"/>
      </w:pPr>
      <w:r>
        <w:rPr>
          <w:rFonts w:hint="eastAsia"/>
        </w:rPr>
        <w:t>二、我方提交的所有投标文件、资料都是准确和真实的，如有虚假或隐瞒，我方愿意承担一切法律责任。</w:t>
      </w:r>
    </w:p>
    <w:p>
      <w:pPr>
        <w:ind w:firstLine="480"/>
      </w:pPr>
      <w:r>
        <w:rPr>
          <w:rFonts w:hint="eastAsia"/>
        </w:rPr>
        <w:t>三、我方承诺按照招标文件要求，提供招标项目的技术（质量）服务。</w:t>
      </w:r>
    </w:p>
    <w:p>
      <w:pPr>
        <w:ind w:firstLine="480"/>
      </w:pPr>
      <w:r>
        <w:rPr>
          <w:rFonts w:hint="eastAsia"/>
        </w:rPr>
        <w:t>四、我方按招标文件要求提交的投标文件为：投标文件正本1份，副本  份，电子文档</w:t>
      </w:r>
      <w:r>
        <w:rPr>
          <w:rFonts w:hint="eastAsia"/>
          <w:u w:val="single"/>
        </w:rPr>
        <w:t xml:space="preserve">  </w:t>
      </w:r>
      <w:r>
        <w:rPr>
          <w:rFonts w:hint="eastAsia"/>
        </w:rPr>
        <w:t>份。</w:t>
      </w:r>
    </w:p>
    <w:p>
      <w:pPr>
        <w:ind w:firstLine="480"/>
      </w:pPr>
      <w:r>
        <w:rPr>
          <w:rFonts w:hint="eastAsia"/>
        </w:rPr>
        <w:t>五、我方承诺：本次投标的投标有效期为投标截止时间起90天。</w:t>
      </w:r>
    </w:p>
    <w:p>
      <w:pPr>
        <w:ind w:firstLine="480"/>
      </w:pPr>
      <w:r>
        <w:rPr>
          <w:rFonts w:hint="eastAsia"/>
        </w:rPr>
        <w:t>六、我方投标报价为闭口价。即在投标有效期和合同有效期内，该报价固定不变。</w:t>
      </w:r>
    </w:p>
    <w:p>
      <w:pPr>
        <w:ind w:firstLine="480"/>
      </w:pPr>
      <w:r>
        <w:rPr>
          <w:rFonts w:hint="eastAsia"/>
        </w:rPr>
        <w:t>七、如果我方中标，我方将履行招标文件中规定的各项要求以及我方投标文件的各项承诺，按《中华人民共和国政府采购法》、《中华人民共和国民法典》及合同约定条款承担我方责任。</w:t>
      </w:r>
    </w:p>
    <w:p>
      <w:pPr>
        <w:ind w:firstLine="480"/>
      </w:pPr>
      <w:r>
        <w:rPr>
          <w:rFonts w:hint="eastAsia"/>
        </w:rPr>
        <w:t>八、我方未为采购项目提供整体设计、规范编制或者项目管理、监理、检测等服务。</w:t>
      </w:r>
    </w:p>
    <w:p>
      <w:pPr>
        <w:ind w:firstLine="480"/>
      </w:pPr>
      <w:r>
        <w:rPr>
          <w:rFonts w:hint="eastAsia"/>
        </w:rPr>
        <w:t>九、我方理解，最低报价不是中标的唯一条件。</w:t>
      </w:r>
    </w:p>
    <w:p>
      <w:pPr>
        <w:ind w:firstLine="480"/>
      </w:pPr>
      <w:r>
        <w:rPr>
          <w:rFonts w:hint="eastAsia"/>
        </w:rPr>
        <w:t>十、我方同意按有关规定及招标文件要求，交纳足额投标保证金。</w:t>
      </w:r>
    </w:p>
    <w:p>
      <w:pPr>
        <w:ind w:firstLine="480"/>
      </w:pPr>
      <w:r>
        <w:rPr>
          <w:rFonts w:hint="eastAsia"/>
        </w:rPr>
        <w:t>十一、若我方中标，愿意按有关规定及招标文件要求缴纳采购代理服务费和交易服务费。</w:t>
      </w:r>
    </w:p>
    <w:p>
      <w:pPr>
        <w:ind w:firstLine="480"/>
      </w:pPr>
      <w:r>
        <w:rPr>
          <w:rFonts w:hint="eastAsia"/>
        </w:rPr>
        <w:t>（投标人公章或自然人签署）</w:t>
      </w:r>
    </w:p>
    <w:p>
      <w:pPr>
        <w:ind w:firstLine="480"/>
      </w:pPr>
      <w:r>
        <w:rPr>
          <w:rFonts w:hint="eastAsia"/>
        </w:rPr>
        <w:t>年    月   日</w:t>
      </w:r>
    </w:p>
    <w:p>
      <w:pPr>
        <w:ind w:firstLine="480"/>
      </w:pPr>
      <w:r>
        <w:rPr>
          <w:rFonts w:hint="eastAsia"/>
        </w:rPr>
        <w:br w:type="page"/>
      </w:r>
    </w:p>
    <w:p>
      <w:pPr>
        <w:pStyle w:val="2"/>
        <w:jc w:val="center"/>
      </w:pPr>
      <w:bookmarkStart w:id="290" w:name="_Toc5049"/>
      <w:bookmarkStart w:id="291" w:name="_Toc2699"/>
      <w:bookmarkStart w:id="292" w:name="_Toc16304"/>
      <w:r>
        <w:rPr>
          <w:rFonts w:hint="eastAsia"/>
        </w:rPr>
        <w:t>（二）商务条款差异表</w:t>
      </w:r>
      <w:bookmarkEnd w:id="290"/>
      <w:bookmarkEnd w:id="291"/>
      <w:bookmarkEnd w:id="292"/>
    </w:p>
    <w:p>
      <w:pPr>
        <w:ind w:firstLine="480"/>
      </w:pPr>
      <w:r>
        <w:rPr>
          <w:rFonts w:hint="eastAsia"/>
        </w:rPr>
        <w:t>项目号：</w:t>
      </w:r>
    </w:p>
    <w:p>
      <w:pPr>
        <w:ind w:firstLine="480"/>
      </w:pPr>
      <w:r>
        <w:rPr>
          <w:rFonts w:hint="eastAsia"/>
        </w:rPr>
        <w:t>招标项目名称：</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627"/>
        <w:gridCol w:w="2726"/>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pPr>
              <w:pStyle w:val="25"/>
            </w:pPr>
            <w:r>
              <w:rPr>
                <w:rFonts w:hint="eastAsia"/>
              </w:rPr>
              <w:t>序号</w:t>
            </w:r>
          </w:p>
        </w:tc>
        <w:tc>
          <w:tcPr>
            <w:tcW w:w="1541" w:type="pct"/>
            <w:vAlign w:val="center"/>
          </w:tcPr>
          <w:p>
            <w:pPr>
              <w:pStyle w:val="25"/>
            </w:pPr>
            <w:r>
              <w:rPr>
                <w:rFonts w:hint="eastAsia"/>
              </w:rPr>
              <w:t>招标商务要求</w:t>
            </w:r>
          </w:p>
        </w:tc>
        <w:tc>
          <w:tcPr>
            <w:tcW w:w="1599" w:type="pct"/>
            <w:vAlign w:val="center"/>
          </w:tcPr>
          <w:p>
            <w:pPr>
              <w:pStyle w:val="25"/>
            </w:pPr>
            <w:r>
              <w:rPr>
                <w:rFonts w:hint="eastAsia"/>
              </w:rPr>
              <w:t>投标商务应答</w:t>
            </w:r>
          </w:p>
        </w:tc>
        <w:tc>
          <w:tcPr>
            <w:tcW w:w="1198" w:type="pct"/>
            <w:vAlign w:val="center"/>
          </w:tcPr>
          <w:p>
            <w:pPr>
              <w:pStyle w:val="25"/>
            </w:pPr>
            <w:r>
              <w:rPr>
                <w:rFonts w:hint="eastAsia"/>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r>
              <w:rPr>
                <w:rFonts w:hint="eastAsia"/>
              </w:rPr>
              <w:t>提醒：请注明具体内容以及投标文件中具体内容的位置（页码）</w:t>
            </w: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pPr>
              <w:pStyle w:val="25"/>
            </w:pPr>
          </w:p>
        </w:tc>
        <w:tc>
          <w:tcPr>
            <w:tcW w:w="1541" w:type="pct"/>
            <w:vAlign w:val="center"/>
          </w:tcPr>
          <w:p>
            <w:pPr>
              <w:pStyle w:val="25"/>
            </w:pPr>
          </w:p>
        </w:tc>
        <w:tc>
          <w:tcPr>
            <w:tcW w:w="1599" w:type="pct"/>
            <w:vAlign w:val="center"/>
          </w:tcPr>
          <w:p>
            <w:pPr>
              <w:pStyle w:val="25"/>
            </w:pPr>
          </w:p>
        </w:tc>
        <w:tc>
          <w:tcPr>
            <w:tcW w:w="1198" w:type="pct"/>
            <w:vAlign w:val="center"/>
          </w:tcPr>
          <w:p>
            <w:pPr>
              <w:pStyle w:val="25"/>
            </w:pPr>
          </w:p>
        </w:tc>
      </w:tr>
    </w:tbl>
    <w:p>
      <w:pPr>
        <w:ind w:firstLine="480"/>
      </w:pPr>
    </w:p>
    <w:p>
      <w:pPr>
        <w:ind w:firstLine="480"/>
      </w:pPr>
    </w:p>
    <w:p>
      <w:pPr>
        <w:ind w:firstLine="480"/>
      </w:pPr>
      <w:r>
        <w:rPr>
          <w:rFonts w:hint="eastAsia"/>
        </w:rPr>
        <w:t>注：</w:t>
      </w:r>
    </w:p>
    <w:p>
      <w:pPr>
        <w:ind w:firstLine="480"/>
      </w:pPr>
      <w:r>
        <w:rPr>
          <w:rFonts w:hint="eastAsia"/>
        </w:rPr>
        <w:t>1.本表即为对本项目“第三篇 项目商务需求”中所列条款进行比较和响应；</w:t>
      </w:r>
    </w:p>
    <w:p>
      <w:pPr>
        <w:ind w:firstLine="480"/>
      </w:pPr>
      <w:r>
        <w:rPr>
          <w:rFonts w:hint="eastAsia"/>
        </w:rPr>
        <w:t>2.本表可扩展。</w:t>
      </w:r>
    </w:p>
    <w:p>
      <w:pPr>
        <w:ind w:firstLine="480"/>
      </w:pPr>
      <w:r>
        <w:rPr>
          <w:rFonts w:hint="eastAsia"/>
        </w:rPr>
        <w:t>3.投标应答栏中应当注明具体内容，且必须标注具体内容在投标文件中的位置（页码）。</w:t>
      </w:r>
    </w:p>
    <w:p>
      <w:pPr>
        <w:ind w:firstLine="480"/>
      </w:pPr>
      <w:r>
        <w:rPr>
          <w:rFonts w:hint="eastAsia"/>
        </w:rPr>
        <w:br w:type="page"/>
      </w:r>
    </w:p>
    <w:p>
      <w:pPr>
        <w:pStyle w:val="2"/>
        <w:jc w:val="center"/>
      </w:pPr>
      <w:bookmarkStart w:id="293" w:name="_Toc955"/>
      <w:bookmarkStart w:id="294" w:name="_Toc18722"/>
      <w:bookmarkStart w:id="295" w:name="_Toc13128"/>
      <w:r>
        <w:rPr>
          <w:rFonts w:hint="eastAsia"/>
        </w:rPr>
        <w:t>（三）其他商务资料</w:t>
      </w:r>
      <w:bookmarkEnd w:id="293"/>
      <w:bookmarkEnd w:id="294"/>
      <w:bookmarkEnd w:id="295"/>
    </w:p>
    <w:p>
      <w:pPr>
        <w:tabs>
          <w:tab w:val="left" w:pos="6300"/>
        </w:tabs>
        <w:snapToGrid w:val="0"/>
        <w:spacing w:line="500" w:lineRule="exact"/>
        <w:ind w:firstLine="480"/>
      </w:pPr>
      <w:r>
        <w:rPr>
          <w:rFonts w:hint="eastAsia"/>
        </w:rPr>
        <w:t xml:space="preserve"> </w:t>
      </w:r>
    </w:p>
    <w:p>
      <w:pPr>
        <w:tabs>
          <w:tab w:val="left" w:pos="6300"/>
        </w:tabs>
        <w:snapToGrid w:val="0"/>
        <w:spacing w:line="500" w:lineRule="exact"/>
        <w:ind w:firstLine="480"/>
      </w:pPr>
    </w:p>
    <w:p>
      <w:pPr>
        <w:tabs>
          <w:tab w:val="left" w:pos="6300"/>
        </w:tabs>
        <w:snapToGrid w:val="0"/>
        <w:spacing w:line="500" w:lineRule="exact"/>
        <w:ind w:firstLine="480"/>
      </w:pPr>
    </w:p>
    <w:p>
      <w:pPr>
        <w:ind w:firstLine="480"/>
      </w:pPr>
      <w:r>
        <w:rPr>
          <w:rFonts w:hint="eastAsia"/>
        </w:rPr>
        <w:br w:type="page"/>
      </w:r>
    </w:p>
    <w:p>
      <w:pPr>
        <w:pStyle w:val="4"/>
        <w:jc w:val="center"/>
      </w:pPr>
      <w:bookmarkStart w:id="296" w:name="_Toc20677"/>
      <w:bookmarkStart w:id="297" w:name="_Toc76373911"/>
      <w:bookmarkStart w:id="298" w:name="_Toc123227072"/>
      <w:bookmarkStart w:id="299" w:name="_Toc934"/>
      <w:bookmarkStart w:id="300" w:name="_Toc493178792"/>
      <w:bookmarkStart w:id="301" w:name="_Toc19324"/>
      <w:bookmarkStart w:id="302" w:name="_Toc21345"/>
      <w:bookmarkStart w:id="303" w:name="_Toc9237"/>
      <w:bookmarkStart w:id="304" w:name="_Toc492721041"/>
      <w:bookmarkStart w:id="305" w:name="_Toc16269"/>
      <w:bookmarkStart w:id="306" w:name="_Toc29740"/>
      <w:r>
        <w:rPr>
          <w:rFonts w:hint="eastAsia"/>
        </w:rPr>
        <w:t>四、其他</w:t>
      </w:r>
      <w:bookmarkEnd w:id="296"/>
      <w:bookmarkEnd w:id="297"/>
      <w:bookmarkEnd w:id="298"/>
      <w:bookmarkEnd w:id="299"/>
      <w:bookmarkEnd w:id="300"/>
      <w:bookmarkEnd w:id="301"/>
      <w:bookmarkEnd w:id="302"/>
      <w:bookmarkEnd w:id="303"/>
      <w:bookmarkEnd w:id="304"/>
      <w:bookmarkEnd w:id="305"/>
      <w:bookmarkEnd w:id="306"/>
    </w:p>
    <w:p>
      <w:pPr>
        <w:pStyle w:val="2"/>
      </w:pPr>
      <w:bookmarkStart w:id="307" w:name="_Toc12948"/>
      <w:bookmarkStart w:id="308" w:name="_Toc4304"/>
      <w:bookmarkStart w:id="309" w:name="_Toc19524"/>
      <w:r>
        <w:rPr>
          <w:rFonts w:hint="eastAsia"/>
        </w:rPr>
        <w:t>（一）中小企业声明函、监狱企业证明文件、残疾人福利性单位声明函</w:t>
      </w:r>
      <w:bookmarkEnd w:id="307"/>
      <w:bookmarkEnd w:id="308"/>
      <w:bookmarkEnd w:id="309"/>
    </w:p>
    <w:p>
      <w:pPr>
        <w:pStyle w:val="25"/>
        <w:rPr>
          <w:b/>
          <w:bCs/>
        </w:rPr>
      </w:pPr>
      <w:r>
        <w:rPr>
          <w:rFonts w:hint="eastAsia"/>
          <w:b/>
          <w:bCs/>
        </w:rPr>
        <w:t>中小企业声明函</w:t>
      </w:r>
    </w:p>
    <w:p>
      <w:pPr>
        <w:tabs>
          <w:tab w:val="left" w:pos="6300"/>
        </w:tabs>
        <w:snapToGrid w:val="0"/>
        <w:ind w:firstLine="480"/>
        <w:rPr>
          <w:szCs w:val="24"/>
        </w:rPr>
      </w:pPr>
      <w:r>
        <w:rPr>
          <w:rFonts w:hint="eastAsia"/>
          <w:szCs w:val="24"/>
        </w:rPr>
        <w:t>本公司郑重声明，根据《政府采购促进中小企业发展管理办法》（财库〔2020〕46号）的规定，本公司参加</w:t>
      </w:r>
      <w:r>
        <w:rPr>
          <w:rFonts w:hint="eastAsia"/>
          <w:szCs w:val="24"/>
          <w:u w:val="single"/>
        </w:rPr>
        <w:t>（单位名称）</w:t>
      </w:r>
      <w:r>
        <w:rPr>
          <w:rFonts w:hint="eastAsia"/>
          <w:szCs w:val="24"/>
        </w:rPr>
        <w:t>的</w:t>
      </w:r>
      <w:r>
        <w:rPr>
          <w:rFonts w:hint="eastAsia"/>
          <w:szCs w:val="24"/>
          <w:u w:val="single"/>
        </w:rPr>
        <w:t>（项目名称）</w:t>
      </w:r>
      <w:r>
        <w:rPr>
          <w:rFonts w:hint="eastAsia"/>
          <w:szCs w:val="24"/>
        </w:rPr>
        <w:t>采购活动，提供的货物全部由符合政策要求的中小企业制造。相关企业的具体情况如下：</w:t>
      </w:r>
    </w:p>
    <w:p>
      <w:pPr>
        <w:tabs>
          <w:tab w:val="left" w:pos="6300"/>
        </w:tabs>
        <w:snapToGrid w:val="0"/>
        <w:ind w:firstLine="480"/>
        <w:rPr>
          <w:szCs w:val="24"/>
        </w:rPr>
      </w:pPr>
      <w:r>
        <w:rPr>
          <w:rFonts w:hint="eastAsia"/>
          <w:szCs w:val="24"/>
        </w:rPr>
        <w:t>1.</w:t>
      </w:r>
      <w:r>
        <w:rPr>
          <w:rFonts w:hint="eastAsia"/>
          <w:szCs w:val="24"/>
          <w:u w:val="single"/>
        </w:rPr>
        <w:t>（标的名称）</w:t>
      </w:r>
      <w:r>
        <w:rPr>
          <w:rFonts w:hint="eastAsia"/>
          <w:szCs w:val="24"/>
        </w:rPr>
        <w:t>，属于</w:t>
      </w:r>
      <w:r>
        <w:rPr>
          <w:rFonts w:hint="eastAsia"/>
          <w:szCs w:val="24"/>
          <w:u w:val="single"/>
        </w:rPr>
        <w:t>工业</w:t>
      </w:r>
      <w:r>
        <w:rPr>
          <w:rFonts w:hint="eastAsia"/>
          <w:szCs w:val="24"/>
        </w:rPr>
        <w:t>；制造商为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万元，属于</w:t>
      </w:r>
      <w:r>
        <w:rPr>
          <w:rFonts w:hint="eastAsia"/>
          <w:szCs w:val="24"/>
          <w:u w:val="single"/>
        </w:rPr>
        <w:t>（中型企业、小型企业、微型企业）</w:t>
      </w:r>
      <w:r>
        <w:rPr>
          <w:rFonts w:hint="eastAsia"/>
          <w:szCs w:val="24"/>
        </w:rPr>
        <w:t>；</w:t>
      </w:r>
    </w:p>
    <w:p>
      <w:pPr>
        <w:tabs>
          <w:tab w:val="left" w:pos="6300"/>
        </w:tabs>
        <w:snapToGrid w:val="0"/>
        <w:ind w:firstLine="480"/>
        <w:rPr>
          <w:szCs w:val="24"/>
        </w:rPr>
      </w:pPr>
      <w:r>
        <w:rPr>
          <w:rFonts w:hint="eastAsia"/>
          <w:szCs w:val="24"/>
        </w:rPr>
        <w:t>2.</w:t>
      </w:r>
      <w:r>
        <w:rPr>
          <w:rFonts w:hint="eastAsia"/>
          <w:szCs w:val="24"/>
          <w:u w:val="single"/>
        </w:rPr>
        <w:t>（标的名称）</w:t>
      </w:r>
      <w:r>
        <w:rPr>
          <w:rFonts w:hint="eastAsia"/>
          <w:szCs w:val="24"/>
        </w:rPr>
        <w:t>，属于</w:t>
      </w:r>
      <w:r>
        <w:rPr>
          <w:rFonts w:hint="eastAsia"/>
          <w:szCs w:val="24"/>
          <w:u w:val="single"/>
        </w:rPr>
        <w:t>工业</w:t>
      </w:r>
      <w:r>
        <w:rPr>
          <w:rFonts w:hint="eastAsia"/>
          <w:szCs w:val="24"/>
        </w:rPr>
        <w:t>；制造商为</w:t>
      </w:r>
      <w:r>
        <w:rPr>
          <w:rFonts w:hint="eastAsia"/>
          <w:szCs w:val="24"/>
          <w:u w:val="single"/>
        </w:rPr>
        <w:t>（企业名称）</w:t>
      </w:r>
      <w:r>
        <w:rPr>
          <w:rFonts w:hint="eastAsia"/>
          <w:szCs w:val="24"/>
        </w:rPr>
        <w:t>，从业人员</w:t>
      </w:r>
      <w:r>
        <w:rPr>
          <w:rFonts w:hint="eastAsia"/>
          <w:szCs w:val="24"/>
          <w:u w:val="single"/>
        </w:rPr>
        <w:t xml:space="preserve">      </w:t>
      </w:r>
      <w:r>
        <w:rPr>
          <w:rFonts w:hint="eastAsia"/>
          <w:szCs w:val="24"/>
        </w:rPr>
        <w:t>人，营业收入为</w:t>
      </w:r>
      <w:r>
        <w:rPr>
          <w:rFonts w:hint="eastAsia"/>
          <w:szCs w:val="24"/>
          <w:u w:val="single"/>
        </w:rPr>
        <w:t xml:space="preserve">    </w:t>
      </w:r>
      <w:r>
        <w:rPr>
          <w:rFonts w:hint="eastAsia"/>
          <w:szCs w:val="24"/>
        </w:rPr>
        <w:t>万元，资产总额为</w:t>
      </w:r>
      <w:r>
        <w:rPr>
          <w:rFonts w:hint="eastAsia"/>
          <w:szCs w:val="24"/>
          <w:u w:val="single"/>
        </w:rPr>
        <w:t xml:space="preserve">    </w:t>
      </w:r>
      <w:r>
        <w:rPr>
          <w:rFonts w:hint="eastAsia"/>
          <w:szCs w:val="24"/>
        </w:rPr>
        <w:t>万元，属于</w:t>
      </w:r>
      <w:r>
        <w:rPr>
          <w:rFonts w:hint="eastAsia"/>
          <w:szCs w:val="24"/>
          <w:u w:val="single"/>
        </w:rPr>
        <w:t>（中型企业、小型企业、微型企业）</w:t>
      </w:r>
      <w:r>
        <w:rPr>
          <w:rFonts w:hint="eastAsia"/>
          <w:szCs w:val="24"/>
        </w:rPr>
        <w:t>；</w:t>
      </w:r>
    </w:p>
    <w:p>
      <w:pPr>
        <w:tabs>
          <w:tab w:val="left" w:pos="6300"/>
        </w:tabs>
        <w:snapToGrid w:val="0"/>
        <w:ind w:firstLine="480"/>
        <w:rPr>
          <w:szCs w:val="24"/>
        </w:rPr>
      </w:pPr>
      <w:r>
        <w:rPr>
          <w:rFonts w:hint="eastAsia"/>
          <w:szCs w:val="24"/>
        </w:rPr>
        <w:t>以上企业，不属于大企业的分支机构，不存在控股股东为大企业的情形，也不存在与大企业的负责人为同一人的情形。</w:t>
      </w:r>
    </w:p>
    <w:p>
      <w:pPr>
        <w:tabs>
          <w:tab w:val="left" w:pos="6300"/>
        </w:tabs>
        <w:snapToGrid w:val="0"/>
        <w:ind w:firstLine="480"/>
        <w:rPr>
          <w:szCs w:val="24"/>
        </w:rPr>
      </w:pPr>
      <w:r>
        <w:rPr>
          <w:rFonts w:hint="eastAsia"/>
          <w:szCs w:val="24"/>
        </w:rPr>
        <w:t>本企业对上述声明内容的真实性负责。如有虚假，将依法承担相应责任。</w:t>
      </w:r>
    </w:p>
    <w:p>
      <w:pPr>
        <w:tabs>
          <w:tab w:val="left" w:pos="6300"/>
        </w:tabs>
        <w:snapToGrid w:val="0"/>
        <w:ind w:firstLine="480"/>
        <w:rPr>
          <w:szCs w:val="24"/>
        </w:rPr>
      </w:pPr>
      <w:r>
        <w:rPr>
          <w:rFonts w:hint="eastAsia"/>
          <w:szCs w:val="24"/>
        </w:rPr>
        <w:t xml:space="preserve">                                                    </w:t>
      </w:r>
    </w:p>
    <w:p>
      <w:pPr>
        <w:tabs>
          <w:tab w:val="left" w:pos="6300"/>
        </w:tabs>
        <w:snapToGrid w:val="0"/>
        <w:ind w:firstLine="480"/>
        <w:rPr>
          <w:szCs w:val="24"/>
        </w:rPr>
      </w:pPr>
      <w:r>
        <w:rPr>
          <w:rFonts w:hint="eastAsia"/>
          <w:szCs w:val="24"/>
        </w:rPr>
        <w:t xml:space="preserve">企业名称（盖章）： </w:t>
      </w:r>
    </w:p>
    <w:p>
      <w:pPr>
        <w:tabs>
          <w:tab w:val="left" w:pos="6300"/>
        </w:tabs>
        <w:snapToGrid w:val="0"/>
        <w:ind w:firstLine="480"/>
        <w:rPr>
          <w:szCs w:val="24"/>
        </w:rPr>
      </w:pPr>
      <w:r>
        <w:rPr>
          <w:rFonts w:hint="eastAsia"/>
          <w:szCs w:val="24"/>
        </w:rPr>
        <w:t>日期：</w:t>
      </w:r>
    </w:p>
    <w:p>
      <w:pPr>
        <w:tabs>
          <w:tab w:val="left" w:pos="6300"/>
        </w:tabs>
        <w:snapToGrid w:val="0"/>
        <w:ind w:firstLine="480"/>
        <w:rPr>
          <w:kern w:val="0"/>
          <w:szCs w:val="24"/>
        </w:rPr>
      </w:pPr>
      <w:r>
        <w:rPr>
          <w:rFonts w:hint="eastAsia"/>
          <w:kern w:val="0"/>
          <w:szCs w:val="24"/>
        </w:rPr>
        <w:t>填写时应注意以下事项：</w:t>
      </w:r>
    </w:p>
    <w:p>
      <w:pPr>
        <w:tabs>
          <w:tab w:val="left" w:pos="6300"/>
        </w:tabs>
        <w:snapToGrid w:val="0"/>
        <w:ind w:firstLine="480"/>
        <w:jc w:val="left"/>
        <w:rPr>
          <w:kern w:val="0"/>
          <w:szCs w:val="24"/>
        </w:rPr>
      </w:pPr>
      <w:r>
        <w:rPr>
          <w:rFonts w:hint="eastAsia"/>
          <w:kern w:val="0"/>
          <w:szCs w:val="24"/>
        </w:rPr>
        <w:t>1.从业人员、营业收入、资产总额填报上一年度数据，无上一年度数据的新成立企业可不填报。</w:t>
      </w:r>
    </w:p>
    <w:p>
      <w:pPr>
        <w:tabs>
          <w:tab w:val="left" w:pos="6300"/>
        </w:tabs>
        <w:snapToGrid w:val="0"/>
        <w:ind w:firstLine="480"/>
        <w:jc w:val="left"/>
        <w:rPr>
          <w:kern w:val="0"/>
          <w:szCs w:val="24"/>
          <w:u w:val="single"/>
        </w:rPr>
      </w:pPr>
      <w:r>
        <w:rPr>
          <w:rFonts w:hint="eastAsia"/>
          <w:kern w:val="0"/>
          <w:szCs w:val="24"/>
          <w:u w:val="single"/>
        </w:rPr>
        <w:t>2.中小企业应当按照《中小企业划型标准规定》（工信部联企业〔2011〕300号），如实填写并提交《中小企业声明函》。</w:t>
      </w:r>
    </w:p>
    <w:p>
      <w:pPr>
        <w:tabs>
          <w:tab w:val="left" w:pos="6300"/>
        </w:tabs>
        <w:snapToGrid w:val="0"/>
        <w:ind w:firstLine="480"/>
        <w:rPr>
          <w:kern w:val="0"/>
          <w:szCs w:val="24"/>
          <w:u w:val="single"/>
        </w:rPr>
      </w:pPr>
      <w:r>
        <w:rPr>
          <w:rFonts w:hint="eastAsia"/>
          <w:kern w:val="0"/>
          <w:szCs w:val="24"/>
          <w:u w:val="single"/>
        </w:rPr>
        <w:t>3.投标人填写《中小企业声明函》中所属行业时，应与采购文件第一篇“采购标的对应的中小企业划分标准所属行业”中填写的所属行业一致。</w:t>
      </w:r>
    </w:p>
    <w:p>
      <w:pPr>
        <w:tabs>
          <w:tab w:val="left" w:pos="6300"/>
        </w:tabs>
        <w:snapToGrid w:val="0"/>
        <w:ind w:firstLine="480"/>
        <w:rPr>
          <w:kern w:val="0"/>
          <w:szCs w:val="24"/>
          <w:u w:val="single"/>
        </w:rPr>
      </w:pPr>
      <w:r>
        <w:rPr>
          <w:rFonts w:hint="eastAsia"/>
          <w:kern w:val="0"/>
          <w:szCs w:val="24"/>
          <w:u w:val="single"/>
        </w:rPr>
        <w:t>4.本声明函“企业名称（盖章）”处为投标人盖章。</w:t>
      </w:r>
    </w:p>
    <w:p>
      <w:pPr>
        <w:tabs>
          <w:tab w:val="left" w:pos="6300"/>
        </w:tabs>
        <w:snapToGrid w:val="0"/>
        <w:ind w:firstLine="480"/>
        <w:jc w:val="left"/>
        <w:rPr>
          <w:szCs w:val="24"/>
        </w:rPr>
      </w:pPr>
      <w:r>
        <w:rPr>
          <w:rFonts w:hint="eastAsia"/>
          <w:szCs w:val="24"/>
        </w:rPr>
        <w:t>注：各行业划型标准：</w:t>
      </w:r>
    </w:p>
    <w:p>
      <w:pPr>
        <w:tabs>
          <w:tab w:val="left" w:pos="6300"/>
        </w:tabs>
        <w:snapToGrid w:val="0"/>
        <w:ind w:firstLine="480"/>
        <w:jc w:val="left"/>
        <w:rPr>
          <w:szCs w:val="24"/>
        </w:rPr>
      </w:pPr>
      <w:r>
        <w:rPr>
          <w:rFonts w:hint="eastAsia"/>
          <w:szCs w:val="24"/>
        </w:rPr>
        <w:t>（一）农、林、牧、渔业。营业收入20000万元以下的为中小微型企业。其中，营业收入500万元及以上的为中型企业，营业收入50万元及以上的为小型企业，营业收入50万元以下的为微型企业。</w:t>
      </w:r>
    </w:p>
    <w:p>
      <w:pPr>
        <w:tabs>
          <w:tab w:val="left" w:pos="6300"/>
        </w:tabs>
        <w:snapToGrid w:val="0"/>
        <w:ind w:firstLine="480"/>
        <w:jc w:val="left"/>
        <w:rPr>
          <w:szCs w:val="24"/>
        </w:rPr>
      </w:pPr>
      <w:r>
        <w:rPr>
          <w:rFonts w:hint="eastAsia"/>
          <w:szCs w:val="24"/>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80"/>
        <w:jc w:val="left"/>
        <w:rPr>
          <w:szCs w:val="24"/>
        </w:rPr>
      </w:pPr>
      <w:r>
        <w:rPr>
          <w:rFonts w:hint="eastAsia"/>
          <w:szCs w:val="24"/>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80"/>
        <w:jc w:val="left"/>
        <w:rPr>
          <w:szCs w:val="24"/>
        </w:rPr>
      </w:pPr>
      <w:r>
        <w:rPr>
          <w:rFonts w:hint="eastAsia"/>
          <w:szCs w:val="24"/>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80"/>
        <w:jc w:val="left"/>
        <w:rPr>
          <w:szCs w:val="24"/>
        </w:rPr>
      </w:pPr>
      <w:r>
        <w:rPr>
          <w:rFonts w:hint="eastAsia"/>
          <w:szCs w:val="24"/>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80"/>
        <w:jc w:val="left"/>
        <w:rPr>
          <w:szCs w:val="24"/>
        </w:rPr>
      </w:pPr>
      <w:r>
        <w:rPr>
          <w:rFonts w:hint="eastAsia"/>
          <w:szCs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80"/>
        <w:jc w:val="left"/>
        <w:rPr>
          <w:szCs w:val="24"/>
        </w:rPr>
      </w:pPr>
      <w:r>
        <w:rPr>
          <w:rFonts w:hint="eastAsia"/>
          <w:szCs w:val="24"/>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80"/>
        <w:jc w:val="left"/>
        <w:rPr>
          <w:szCs w:val="24"/>
        </w:rPr>
      </w:pPr>
      <w:r>
        <w:rPr>
          <w:rFonts w:hint="eastAsia"/>
          <w:szCs w:val="24"/>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80"/>
        <w:jc w:val="left"/>
        <w:rPr>
          <w:szCs w:val="24"/>
        </w:rPr>
      </w:pPr>
      <w:r>
        <w:rPr>
          <w:rFonts w:hint="eastAsia"/>
          <w:szCs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80"/>
        <w:jc w:val="left"/>
        <w:rPr>
          <w:szCs w:val="24"/>
        </w:rPr>
      </w:pPr>
      <w:r>
        <w:rPr>
          <w:rFonts w:hint="eastAsia"/>
          <w:szCs w:val="24"/>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80"/>
        <w:jc w:val="left"/>
        <w:rPr>
          <w:szCs w:val="24"/>
        </w:rPr>
      </w:pPr>
      <w:r>
        <w:rPr>
          <w:rFonts w:hint="eastAsia"/>
          <w:szCs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80"/>
        <w:jc w:val="left"/>
        <w:rPr>
          <w:szCs w:val="24"/>
        </w:rPr>
      </w:pPr>
      <w:r>
        <w:rPr>
          <w:rFonts w:hint="eastAsia"/>
          <w:szCs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80"/>
        <w:jc w:val="left"/>
        <w:rPr>
          <w:szCs w:val="24"/>
        </w:rPr>
      </w:pPr>
      <w:r>
        <w:rPr>
          <w:rFonts w:hint="eastAsia"/>
          <w:szCs w:val="24"/>
        </w:rPr>
        <w:t>（十六）其他未列明行业。从业人员300人以下的为中小微型企业。其中，从业人员100人及以上的为中型企业；从业人员10人及以上的为小型企业；从业人员10人以下的为微型企业。</w:t>
      </w:r>
    </w:p>
    <w:p>
      <w:pPr>
        <w:pStyle w:val="25"/>
        <w:rPr>
          <w:rStyle w:val="27"/>
          <w:b/>
          <w:bCs/>
        </w:rPr>
      </w:pPr>
      <w:r>
        <w:rPr>
          <w:rStyle w:val="27"/>
          <w:rFonts w:hint="eastAsia"/>
          <w:b/>
          <w:bCs/>
        </w:rPr>
        <w:t>监狱企业证明文件</w:t>
      </w:r>
    </w:p>
    <w:p>
      <w:pPr>
        <w:tabs>
          <w:tab w:val="left" w:pos="6300"/>
        </w:tabs>
        <w:snapToGrid w:val="0"/>
        <w:spacing w:line="400" w:lineRule="exact"/>
        <w:ind w:firstLine="480"/>
        <w:jc w:val="left"/>
        <w:rPr>
          <w:szCs w:val="24"/>
        </w:rPr>
      </w:pPr>
      <w:r>
        <w:rPr>
          <w:rFonts w:hint="eastAsia"/>
          <w:szCs w:val="24"/>
        </w:rPr>
        <w:t>以省级以上监狱管理局、戒毒管理局（含新疆生产建设兵团）出具的属于监狱企业的证明文件为准。</w:t>
      </w:r>
    </w:p>
    <w:p>
      <w:pPr>
        <w:tabs>
          <w:tab w:val="left" w:pos="6300"/>
        </w:tabs>
        <w:snapToGrid w:val="0"/>
        <w:spacing w:line="400" w:lineRule="exact"/>
        <w:ind w:firstLine="480"/>
        <w:jc w:val="center"/>
        <w:rPr>
          <w:rStyle w:val="27"/>
          <w:b/>
          <w:bCs/>
        </w:rPr>
      </w:pPr>
      <w:r>
        <w:rPr>
          <w:rFonts w:hint="eastAsia"/>
        </w:rPr>
        <w:br w:type="page"/>
      </w:r>
      <w:r>
        <w:rPr>
          <w:rStyle w:val="27"/>
          <w:rFonts w:hint="eastAsia"/>
          <w:b/>
          <w:bCs/>
        </w:rPr>
        <w:t>残疾人福利性单位声明函</w:t>
      </w:r>
    </w:p>
    <w:p>
      <w:pPr>
        <w:ind w:firstLine="480"/>
      </w:pPr>
      <w:r>
        <w:rPr>
          <w:rFonts w:hint="eastAsia"/>
        </w:rPr>
        <w:t>本单位郑重声明，根据《财政部 民政部 中国残疾人联合会关于促进残疾人就业政府采购政策的通知》（财库〔2017〕 141号）的规定，本单位为符合条件的残疾人福利性单位，且本单位参加</w:t>
      </w:r>
      <w:r>
        <w:rPr>
          <w:rFonts w:hint="eastAsia"/>
          <w:u w:val="single"/>
        </w:rPr>
        <w:t xml:space="preserve">     </w:t>
      </w:r>
      <w:r>
        <w:rPr>
          <w:rFonts w:hint="eastAsia"/>
        </w:rPr>
        <w:t>单位的______项目采购活动提供本单位制造的货物（由本单位承担工程/提供服务），或者提供其他残疾人福利性单位制造的货物（不包括使用非残疾人福利性单位注册商标的货物）。</w:t>
      </w:r>
    </w:p>
    <w:p>
      <w:pPr>
        <w:ind w:firstLine="480"/>
      </w:pPr>
      <w:r>
        <w:rPr>
          <w:rFonts w:hint="eastAsia"/>
        </w:rPr>
        <w:t>本单位对上述声明的真实性负责。如有虚假，将依法承担相应责任。</w:t>
      </w:r>
    </w:p>
    <w:p>
      <w:pPr>
        <w:ind w:firstLine="480"/>
      </w:pPr>
    </w:p>
    <w:p>
      <w:pPr>
        <w:ind w:firstLine="480"/>
      </w:pPr>
    </w:p>
    <w:p>
      <w:pPr>
        <w:ind w:firstLine="480"/>
      </w:pPr>
      <w:r>
        <w:rPr>
          <w:rFonts w:hint="eastAsia"/>
        </w:rPr>
        <w:t xml:space="preserve">                                                 投标人名称（盖章）：</w:t>
      </w:r>
    </w:p>
    <w:p>
      <w:pPr>
        <w:ind w:firstLine="480"/>
      </w:pPr>
      <w:r>
        <w:rPr>
          <w:rFonts w:hint="eastAsia"/>
        </w:rPr>
        <w:t xml:space="preserve">                                                日   期：</w:t>
      </w:r>
    </w:p>
    <w:p>
      <w:pPr>
        <w:ind w:firstLine="480"/>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p>
    <w:p>
      <w:pPr>
        <w:tabs>
          <w:tab w:val="left" w:pos="6300"/>
        </w:tabs>
        <w:snapToGrid w:val="0"/>
        <w:spacing w:line="500" w:lineRule="exact"/>
        <w:ind w:firstLine="480"/>
        <w:jc w:val="left"/>
      </w:pPr>
      <w:r>
        <w:rPr>
          <w:rFonts w:hint="eastAsia"/>
          <w:kern w:val="0"/>
        </w:rPr>
        <w:t>若中标人为残疾人福利性单位的，将在结果公告时公告其《残疾人福利性单位声明函》。</w:t>
      </w:r>
    </w:p>
    <w:p>
      <w:pPr>
        <w:spacing w:line="400" w:lineRule="exact"/>
        <w:ind w:firstLine="480"/>
        <w:jc w:val="center"/>
        <w:rPr>
          <w:rStyle w:val="28"/>
        </w:rPr>
      </w:pPr>
      <w:r>
        <w:rPr>
          <w:rFonts w:hint="eastAsia"/>
        </w:rPr>
        <w:br w:type="page"/>
      </w:r>
      <w:bookmarkStart w:id="310" w:name="_Toc27444"/>
      <w:bookmarkStart w:id="311" w:name="_Toc8798"/>
      <w:bookmarkStart w:id="312" w:name="_Toc12476"/>
      <w:r>
        <w:rPr>
          <w:rStyle w:val="28"/>
          <w:rFonts w:hint="eastAsia"/>
        </w:rPr>
        <w:t>（二）其他与项目有关的资料（自附）</w:t>
      </w:r>
    </w:p>
    <w:bookmarkEnd w:id="310"/>
    <w:bookmarkEnd w:id="311"/>
    <w:bookmarkEnd w:id="312"/>
    <w:p>
      <w:pPr>
        <w:ind w:firstLine="480"/>
      </w:pPr>
      <w:bookmarkStart w:id="313" w:name="_Toc76373912"/>
      <w:bookmarkStart w:id="314" w:name="_Toc20605"/>
      <w:bookmarkStart w:id="315" w:name="_Toc493178793"/>
      <w:bookmarkStart w:id="316" w:name="_Toc8925"/>
      <w:bookmarkStart w:id="317" w:name="_Toc6217"/>
      <w:bookmarkStart w:id="318" w:name="_Toc492721038"/>
      <w:bookmarkStart w:id="319" w:name="_Toc16151"/>
      <w:bookmarkStart w:id="320" w:name="_Toc123227073"/>
      <w:r>
        <w:rPr>
          <w:rFonts w:hint="eastAsia"/>
        </w:rPr>
        <w:br w:type="page"/>
      </w:r>
    </w:p>
    <w:p>
      <w:pPr>
        <w:pStyle w:val="4"/>
        <w:jc w:val="center"/>
      </w:pPr>
      <w:bookmarkStart w:id="321" w:name="_Toc13573"/>
      <w:bookmarkStart w:id="322" w:name="_Toc16908"/>
      <w:bookmarkStart w:id="323" w:name="_Toc16539"/>
      <w:r>
        <w:rPr>
          <w:rFonts w:hint="eastAsia"/>
        </w:rPr>
        <w:t>五、资格文件</w:t>
      </w:r>
      <w:bookmarkEnd w:id="313"/>
      <w:bookmarkEnd w:id="314"/>
      <w:bookmarkEnd w:id="315"/>
      <w:bookmarkEnd w:id="316"/>
      <w:bookmarkEnd w:id="317"/>
      <w:bookmarkEnd w:id="318"/>
      <w:bookmarkEnd w:id="319"/>
      <w:bookmarkEnd w:id="320"/>
      <w:bookmarkEnd w:id="321"/>
      <w:bookmarkEnd w:id="322"/>
      <w:bookmarkEnd w:id="323"/>
    </w:p>
    <w:p>
      <w:pPr>
        <w:pStyle w:val="2"/>
        <w:jc w:val="center"/>
      </w:pPr>
      <w:bookmarkStart w:id="324" w:name="_Toc31933"/>
      <w:bookmarkStart w:id="325" w:name="_Toc32564"/>
      <w:bookmarkStart w:id="326" w:name="_Toc9037"/>
      <w:r>
        <w:rPr>
          <w:rFonts w:hint="eastAsia"/>
        </w:rPr>
        <w:t>（一）法人营业执照（副本）或事业单位法人证书（副本）或个体工商户营业执照或有效的自然人身份证明或社会团体法人登记证书复印件</w:t>
      </w:r>
      <w:bookmarkEnd w:id="324"/>
      <w:bookmarkEnd w:id="325"/>
      <w:bookmarkEnd w:id="326"/>
    </w:p>
    <w:p>
      <w:pPr>
        <w:ind w:firstLine="480"/>
      </w:pPr>
    </w:p>
    <w:p>
      <w:pPr>
        <w:ind w:firstLine="480"/>
      </w:pPr>
    </w:p>
    <w:p>
      <w:pPr>
        <w:ind w:firstLine="480"/>
      </w:pPr>
    </w:p>
    <w:p>
      <w:pPr>
        <w:ind w:firstLine="480"/>
      </w:pPr>
      <w:r>
        <w:rPr>
          <w:rFonts w:hint="eastAsia"/>
        </w:rPr>
        <w:br w:type="page"/>
      </w:r>
    </w:p>
    <w:p>
      <w:pPr>
        <w:pStyle w:val="2"/>
        <w:jc w:val="center"/>
      </w:pPr>
      <w:bookmarkStart w:id="327" w:name="_Toc9414"/>
      <w:bookmarkStart w:id="328" w:name="_Toc12593"/>
      <w:bookmarkStart w:id="329" w:name="_Toc21035"/>
      <w:r>
        <w:rPr>
          <w:rFonts w:hint="eastAsia"/>
        </w:rPr>
        <w:t>（二）法定代表人身份证明书（格式）</w:t>
      </w:r>
      <w:bookmarkEnd w:id="327"/>
      <w:bookmarkEnd w:id="328"/>
      <w:bookmarkEnd w:id="329"/>
    </w:p>
    <w:p>
      <w:pPr>
        <w:ind w:firstLine="480"/>
      </w:pPr>
    </w:p>
    <w:p>
      <w:pPr>
        <w:ind w:firstLine="480"/>
      </w:pPr>
      <w:r>
        <w:rPr>
          <w:rFonts w:hint="eastAsia"/>
        </w:rPr>
        <w:t>招标项目名称：</w:t>
      </w:r>
      <w:r>
        <w:rPr>
          <w:rFonts w:hint="eastAsia"/>
          <w:u w:val="single"/>
        </w:rPr>
        <w:t xml:space="preserve">                                    </w:t>
      </w:r>
      <w:r>
        <w:rPr>
          <w:rFonts w:hint="eastAsia"/>
        </w:rPr>
        <w:t xml:space="preserve">            </w:t>
      </w:r>
    </w:p>
    <w:p>
      <w:pPr>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（法定代表人姓名）在</w:t>
      </w:r>
      <w:r>
        <w:rPr>
          <w:rFonts w:hint="eastAsia"/>
          <w:u w:val="single"/>
        </w:rPr>
        <w:t xml:space="preserve">                       </w:t>
      </w:r>
      <w:r>
        <w:rPr>
          <w:rFonts w:hint="eastAsia"/>
        </w:rPr>
        <w:t>（投标人名称）任</w:t>
      </w:r>
      <w:r>
        <w:rPr>
          <w:rFonts w:hint="eastAsia"/>
          <w:u w:val="single"/>
        </w:rPr>
        <w:t xml:space="preserve">    </w:t>
      </w:r>
      <w:r>
        <w:rPr>
          <w:rFonts w:hint="eastAsia"/>
        </w:rPr>
        <w:t>（职务名称）职务，是（投标人名称）</w:t>
      </w:r>
      <w:r>
        <w:rPr>
          <w:rFonts w:hint="eastAsia"/>
          <w:u w:val="single"/>
        </w:rPr>
        <w:t xml:space="preserve">              </w:t>
      </w:r>
      <w:r>
        <w:rPr>
          <w:rFonts w:hint="eastAsia"/>
        </w:rPr>
        <w:t>的法定代表人。</w:t>
      </w:r>
    </w:p>
    <w:p>
      <w:pPr>
        <w:ind w:firstLine="480"/>
      </w:pPr>
    </w:p>
    <w:p>
      <w:pPr>
        <w:ind w:firstLine="480"/>
      </w:pPr>
      <w:r>
        <w:rPr>
          <w:rFonts w:hint="eastAsia"/>
        </w:rPr>
        <w:t>特此证明。</w:t>
      </w:r>
    </w:p>
    <w:p>
      <w:pPr>
        <w:ind w:firstLine="480"/>
      </w:pPr>
    </w:p>
    <w:p>
      <w:pPr>
        <w:ind w:firstLine="480"/>
      </w:pPr>
    </w:p>
    <w:p>
      <w:pPr>
        <w:ind w:firstLine="480"/>
      </w:pPr>
      <w:r>
        <w:rPr>
          <w:rFonts w:hint="eastAsia"/>
        </w:rPr>
        <w:t xml:space="preserve">                                             投标人：</w:t>
      </w:r>
    </w:p>
    <w:p>
      <w:pPr>
        <w:ind w:firstLine="480"/>
      </w:pPr>
      <w:r>
        <w:rPr>
          <w:rFonts w:hint="eastAsia"/>
        </w:rPr>
        <w:t>（投标人公章）</w:t>
      </w:r>
    </w:p>
    <w:p>
      <w:pPr>
        <w:ind w:firstLine="480"/>
      </w:pPr>
    </w:p>
    <w:p>
      <w:pPr>
        <w:ind w:firstLine="480"/>
      </w:pPr>
      <w:r>
        <w:rPr>
          <w:rFonts w:hint="eastAsia"/>
        </w:rPr>
        <w:t xml:space="preserve">                                             年   月   日</w:t>
      </w:r>
    </w:p>
    <w:p>
      <w:pPr>
        <w:ind w:firstLine="480"/>
      </w:pPr>
      <w:r>
        <w:rPr>
          <w:rFonts w:hint="eastAsia"/>
        </w:rPr>
        <w:t>法定代表人电话：XXXXXXX      电子邮箱：XXXXXX@XXXXX（若授权他人办理并签署投标文件的可不填写）</w:t>
      </w:r>
    </w:p>
    <w:p>
      <w:pPr>
        <w:ind w:firstLine="480"/>
      </w:pPr>
      <w:r>
        <w:rPr>
          <w:rFonts w:hint="eastAsia"/>
        </w:rPr>
        <w:t>（附：法定代表人身份证正反面复印件）</w:t>
      </w:r>
    </w:p>
    <w:p>
      <w:pPr>
        <w:ind w:firstLine="480"/>
      </w:pPr>
    </w:p>
    <w:p>
      <w:pPr>
        <w:tabs>
          <w:tab w:val="left" w:pos="6300"/>
        </w:tabs>
        <w:snapToGrid w:val="0"/>
        <w:spacing w:line="500" w:lineRule="exact"/>
        <w:ind w:firstLine="480"/>
      </w:pPr>
    </w:p>
    <w:p>
      <w:pPr>
        <w:spacing w:line="400" w:lineRule="exact"/>
        <w:ind w:firstLine="480"/>
      </w:pPr>
    </w:p>
    <w:p>
      <w:pPr>
        <w:ind w:firstLine="480"/>
      </w:pPr>
      <w:r>
        <w:rPr>
          <w:rFonts w:hint="eastAsia"/>
        </w:rPr>
        <w:br w:type="page"/>
      </w:r>
    </w:p>
    <w:p>
      <w:pPr>
        <w:pStyle w:val="2"/>
        <w:wordWrap/>
        <w:jc w:val="center"/>
      </w:pPr>
      <w:bookmarkStart w:id="330" w:name="_Toc8974"/>
      <w:bookmarkStart w:id="331" w:name="_Toc23297"/>
      <w:bookmarkStart w:id="332" w:name="_Toc13374"/>
      <w:r>
        <w:rPr>
          <w:rFonts w:hint="eastAsia"/>
        </w:rPr>
        <w:t>（三）法定代表人授权委托书（格式）</w:t>
      </w:r>
      <w:bookmarkEnd w:id="330"/>
      <w:bookmarkEnd w:id="331"/>
      <w:bookmarkEnd w:id="332"/>
    </w:p>
    <w:p>
      <w:pPr>
        <w:tabs>
          <w:tab w:val="left" w:pos="6300"/>
        </w:tabs>
        <w:snapToGrid w:val="0"/>
        <w:spacing w:line="500" w:lineRule="exact"/>
        <w:ind w:firstLine="480"/>
      </w:pPr>
      <w:r>
        <w:rPr>
          <w:rFonts w:hint="eastAsia"/>
        </w:rPr>
        <w:t xml:space="preserve">    </w:t>
      </w:r>
    </w:p>
    <w:p>
      <w:pPr>
        <w:ind w:firstLine="480"/>
      </w:pPr>
      <w:r>
        <w:rPr>
          <w:rFonts w:hint="eastAsia"/>
        </w:rPr>
        <w:t xml:space="preserve">招标项目名称： </w:t>
      </w:r>
      <w:r>
        <w:rPr>
          <w:rFonts w:hint="eastAsia"/>
          <w:u w:val="single"/>
        </w:rPr>
        <w:t xml:space="preserve">                            </w:t>
      </w:r>
    </w:p>
    <w:p>
      <w:pPr>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（投标人法定代表人名称）是</w:t>
      </w:r>
      <w:r>
        <w:rPr>
          <w:rFonts w:hint="eastAsia"/>
          <w:u w:val="single"/>
        </w:rPr>
        <w:t xml:space="preserve">             </w:t>
      </w:r>
      <w:r>
        <w:rPr>
          <w:rFonts w:hint="eastAsia"/>
        </w:rPr>
        <w:t>（投标人名称）的法定代表人，特授权</w:t>
      </w:r>
      <w:r>
        <w:rPr>
          <w:rFonts w:hint="eastAsia"/>
          <w:u w:val="single"/>
        </w:rPr>
        <w:t xml:space="preserve">             </w:t>
      </w:r>
      <w:r>
        <w:rPr>
          <w:rFonts w:hint="eastAsia"/>
        </w:rPr>
        <w:t>（被授权人姓名及身份证代码）代表我单位全权办理上述项目的投标、谈判、签约等具体工作，并签署全部有关文件、协议及合同。</w:t>
      </w:r>
    </w:p>
    <w:p>
      <w:pPr>
        <w:ind w:firstLine="480"/>
      </w:pPr>
      <w:r>
        <w:rPr>
          <w:rFonts w:hint="eastAsia"/>
        </w:rPr>
        <w:t>我单位对被授权人的签署负全部责任。</w:t>
      </w:r>
    </w:p>
    <w:p>
      <w:pPr>
        <w:ind w:firstLine="480"/>
      </w:pPr>
      <w:r>
        <w:rPr>
          <w:rFonts w:hint="eastAsia"/>
        </w:rPr>
        <w:t>在撤销授权的书面通知以前，本授权书一直有效。被授权人在授权书有效期内签署的所有文件不因授权的撤销而失效。</w:t>
      </w:r>
    </w:p>
    <w:p>
      <w:pPr>
        <w:ind w:firstLine="480"/>
      </w:pPr>
    </w:p>
    <w:p>
      <w:pPr>
        <w:ind w:firstLine="480"/>
      </w:pPr>
    </w:p>
    <w:p>
      <w:pPr>
        <w:ind w:firstLine="480"/>
      </w:pPr>
      <w:r>
        <w:rPr>
          <w:rFonts w:hint="eastAsia"/>
        </w:rPr>
        <w:t>被授权人：                                 投标人法定代表人：</w:t>
      </w:r>
    </w:p>
    <w:p>
      <w:pPr>
        <w:ind w:firstLine="480"/>
      </w:pPr>
      <w:r>
        <w:rPr>
          <w:rFonts w:hint="eastAsia"/>
        </w:rPr>
        <w:t>（签署或盖章）                                （签署或盖章）</w:t>
      </w:r>
    </w:p>
    <w:p>
      <w:pPr>
        <w:ind w:firstLine="480"/>
      </w:pPr>
    </w:p>
    <w:p>
      <w:pPr>
        <w:ind w:firstLine="480"/>
      </w:pPr>
    </w:p>
    <w:p>
      <w:pPr>
        <w:ind w:firstLine="480"/>
      </w:pPr>
      <w:r>
        <w:rPr>
          <w:rFonts w:hint="eastAsia"/>
        </w:rPr>
        <w:t>（附：被授权人身份证正反面复印件）</w:t>
      </w:r>
    </w:p>
    <w:p>
      <w:pPr>
        <w:ind w:firstLine="480"/>
      </w:pPr>
    </w:p>
    <w:p>
      <w:pPr>
        <w:ind w:firstLine="480"/>
      </w:pPr>
      <w:r>
        <w:rPr>
          <w:rFonts w:hint="eastAsia"/>
        </w:rPr>
        <w:t>（投标人公章）</w:t>
      </w:r>
    </w:p>
    <w:p>
      <w:pPr>
        <w:ind w:firstLine="480"/>
      </w:pPr>
      <w:r>
        <w:rPr>
          <w:rFonts w:hint="eastAsia"/>
        </w:rPr>
        <w:t>年   月   日</w:t>
      </w:r>
    </w:p>
    <w:p>
      <w:pPr>
        <w:ind w:firstLine="480"/>
      </w:pPr>
    </w:p>
    <w:p>
      <w:pPr>
        <w:ind w:firstLine="480"/>
      </w:pPr>
      <w:r>
        <w:rPr>
          <w:rFonts w:hint="eastAsia"/>
        </w:rPr>
        <w:t>被授权人电话：XXXXXXX     电子邮箱：XXXXXX@XXXXX（若法定代表人办理并签署投标文件的可不填写）</w:t>
      </w:r>
    </w:p>
    <w:p>
      <w:pPr>
        <w:ind w:firstLine="480"/>
      </w:pPr>
      <w:r>
        <w:rPr>
          <w:rFonts w:hint="eastAsia"/>
        </w:rPr>
        <w:t>注：</w:t>
      </w:r>
    </w:p>
    <w:p>
      <w:pPr>
        <w:ind w:firstLine="480"/>
      </w:pPr>
      <w:r>
        <w:rPr>
          <w:rFonts w:hint="eastAsia"/>
        </w:rPr>
        <w:t>若为法定代表人办理并签署投标文件的，不提供此文件。</w:t>
      </w:r>
    </w:p>
    <w:p>
      <w:pPr>
        <w:ind w:firstLine="480"/>
      </w:pPr>
      <w:r>
        <w:rPr>
          <w:rFonts w:hint="eastAsia"/>
        </w:rPr>
        <w:br w:type="page"/>
      </w:r>
    </w:p>
    <w:p>
      <w:pPr>
        <w:pStyle w:val="2"/>
        <w:jc w:val="center"/>
      </w:pPr>
      <w:bookmarkStart w:id="333" w:name="_Toc15120"/>
      <w:bookmarkStart w:id="334" w:name="_Toc25087"/>
      <w:bookmarkStart w:id="335" w:name="_Toc2570"/>
      <w:r>
        <w:rPr>
          <w:rFonts w:hint="eastAsia"/>
        </w:rPr>
        <w:t>（四）基本资格条件承诺函（格式）</w:t>
      </w:r>
      <w:bookmarkEnd w:id="333"/>
      <w:bookmarkEnd w:id="334"/>
      <w:bookmarkEnd w:id="335"/>
    </w:p>
    <w:p>
      <w:pPr>
        <w:pStyle w:val="25"/>
        <w:rPr>
          <w:b/>
          <w:bCs/>
        </w:rPr>
      </w:pPr>
      <w:r>
        <w:rPr>
          <w:rFonts w:hint="eastAsia"/>
          <w:b/>
          <w:bCs/>
        </w:rPr>
        <w:t>基本资格条件承诺函</w:t>
      </w:r>
    </w:p>
    <w:p>
      <w:pPr>
        <w:tabs>
          <w:tab w:val="left" w:pos="6300"/>
        </w:tabs>
        <w:snapToGrid w:val="0"/>
        <w:spacing w:line="530" w:lineRule="exact"/>
        <w:ind w:firstLine="480"/>
      </w:pPr>
    </w:p>
    <w:p>
      <w:pPr>
        <w:ind w:firstLine="480"/>
      </w:pPr>
      <w:r>
        <w:rPr>
          <w:rFonts w:hint="eastAsia"/>
        </w:rPr>
        <w:t>致</w:t>
      </w:r>
      <w:r>
        <w:rPr>
          <w:rFonts w:hint="eastAsia"/>
          <w:u w:val="single"/>
        </w:rPr>
        <w:t xml:space="preserve">                   </w:t>
      </w:r>
      <w:r>
        <w:rPr>
          <w:rFonts w:hint="eastAsia"/>
        </w:rPr>
        <w:t>（采购代理机构名称）：</w:t>
      </w:r>
    </w:p>
    <w:p>
      <w:pPr>
        <w:ind w:firstLine="480"/>
      </w:pPr>
      <w:r>
        <w:rPr>
          <w:rFonts w:hint="eastAsia"/>
          <w:u w:val="single"/>
        </w:rPr>
        <w:t xml:space="preserve">                      </w:t>
      </w:r>
      <w:r>
        <w:rPr>
          <w:rFonts w:hint="eastAsia"/>
        </w:rPr>
        <w:t>（投标人名称）郑重承诺：</w:t>
      </w:r>
    </w:p>
    <w:p>
      <w:pPr>
        <w:ind w:firstLine="480"/>
      </w:pPr>
      <w:r>
        <w:rPr>
          <w:rFonts w:hint="eastAsia"/>
        </w:rPr>
        <w:t>1.我方具有良好的商业信誉和健全的财务会计制度，具有履行合同所必需的设备和专业技术能力，具</w:t>
      </w:r>
      <w:r>
        <w:rPr>
          <w:rFonts w:hint="eastAsia"/>
          <w:lang w:val="zh-CN"/>
        </w:rPr>
        <w:t>有依法缴纳税收和社会保障金的良好记录</w:t>
      </w:r>
      <w:r>
        <w:rPr>
          <w:rFonts w:hint="eastAsia"/>
        </w:rPr>
        <w:t>，参加本项目采购活动前三年内无重大违法活动记录。</w:t>
      </w:r>
    </w:p>
    <w:p>
      <w:pPr>
        <w:ind w:firstLine="480"/>
      </w:pPr>
      <w:r>
        <w:rPr>
          <w:rFonts w:hint="eastAsia"/>
        </w:rPr>
        <w:t>2.我方未列入在信用中国网站（www.creditchina.gov.cn）“失信被执行人”、“重大税收违法案件当事人名单”中，也未列入中国政府采购网（www.ccgp.gov.cn）“政府采购严重违法失信行为记录名单”中。</w:t>
      </w:r>
    </w:p>
    <w:p>
      <w:pPr>
        <w:ind w:firstLine="480"/>
      </w:pPr>
      <w:r>
        <w:rPr>
          <w:rFonts w:hint="eastAsia"/>
        </w:rPr>
        <w:t>3.我方在采购项目评审（评标）环节结束后，随时接受采购人、采购代理机构的检查验证，配合提供相关证明材料，证明符合《中华人民共和国政府采购法》规定的投标人基本资格条件。</w:t>
      </w:r>
    </w:p>
    <w:p>
      <w:pPr>
        <w:ind w:firstLine="480"/>
      </w:pPr>
      <w:r>
        <w:rPr>
          <w:rFonts w:hint="eastAsia"/>
        </w:rPr>
        <w:t>我方对以上承诺负全部法律责任。</w:t>
      </w:r>
    </w:p>
    <w:p>
      <w:pPr>
        <w:ind w:firstLine="480"/>
      </w:pPr>
      <w:r>
        <w:rPr>
          <w:rFonts w:hint="eastAsia"/>
        </w:rPr>
        <w:t>特此承诺。</w:t>
      </w:r>
    </w:p>
    <w:p>
      <w:pPr>
        <w:ind w:firstLine="480"/>
      </w:pPr>
    </w:p>
    <w:p>
      <w:pPr>
        <w:ind w:firstLine="480"/>
      </w:pPr>
      <w:r>
        <w:rPr>
          <w:rFonts w:hint="eastAsia"/>
        </w:rPr>
        <w:t>（投标人公章）</w:t>
      </w:r>
    </w:p>
    <w:p>
      <w:pPr>
        <w:ind w:firstLine="480"/>
      </w:pPr>
      <w:r>
        <w:rPr>
          <w:rFonts w:hint="eastAsia"/>
        </w:rPr>
        <w:t>年   月   日</w:t>
      </w:r>
    </w:p>
    <w:p>
      <w:pPr>
        <w:pStyle w:val="25"/>
      </w:pPr>
    </w:p>
    <w:p>
      <w:pPr>
        <w:tabs>
          <w:tab w:val="left" w:pos="6300"/>
        </w:tabs>
        <w:snapToGrid w:val="0"/>
        <w:spacing w:line="500" w:lineRule="exact"/>
        <w:ind w:firstLine="480"/>
        <w:jc w:val="left"/>
      </w:pPr>
    </w:p>
    <w:p>
      <w:pPr>
        <w:tabs>
          <w:tab w:val="left" w:pos="6300"/>
        </w:tabs>
        <w:snapToGrid w:val="0"/>
        <w:spacing w:line="500" w:lineRule="exact"/>
        <w:ind w:firstLine="480"/>
        <w:jc w:val="center"/>
      </w:pPr>
      <w:r>
        <w:rPr>
          <w:rFonts w:hint="eastAsia"/>
        </w:rPr>
        <w:t>（结束）</w:t>
      </w:r>
    </w:p>
    <w:p>
      <w:pPr>
        <w:snapToGrid w:val="0"/>
        <w:spacing w:line="500" w:lineRule="exact"/>
        <w:ind w:firstLine="480"/>
        <w:rPr>
          <w:rFonts w:ascii="方正仿宋_GBK" w:eastAsia="方正仿宋_GBK"/>
        </w:rPr>
      </w:pPr>
    </w:p>
    <w:p>
      <w:pPr>
        <w:ind w:firstLine="643"/>
        <w:jc w:val="center"/>
        <w:rPr>
          <w:b/>
          <w:bCs/>
          <w:sz w:val="32"/>
          <w:szCs w:val="32"/>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Microsoft JhengHei">
    <w:panose1 w:val="020B0604030504040204"/>
    <w:charset w:val="88"/>
    <w:family w:val="auto"/>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ind w:firstLine="36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4"/>
                      <w:ind w:firstLine="36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CE1D5"/>
    <w:multiLevelType w:val="singleLevel"/>
    <w:tmpl w:val="2BCCE1D5"/>
    <w:lvl w:ilvl="0" w:tentative="0">
      <w:start w:val="2"/>
      <w:numFmt w:val="decimal"/>
      <w:lvlText w:val="%1."/>
      <w:lvlJc w:val="left"/>
      <w:pPr>
        <w:tabs>
          <w:tab w:val="left" w:pos="312"/>
        </w:tabs>
      </w:pPr>
    </w:lvl>
  </w:abstractNum>
  <w:abstractNum w:abstractNumId="1">
    <w:nsid w:val="61CDAF25"/>
    <w:multiLevelType w:val="singleLevel"/>
    <w:tmpl w:val="61CDAF25"/>
    <w:lvl w:ilvl="0" w:tentative="0">
      <w:start w:val="1"/>
      <w:numFmt w:val="decimal"/>
      <w:lvlText w:val="%1."/>
      <w:lvlJc w:val="left"/>
      <w:pPr>
        <w:tabs>
          <w:tab w:val="left" w:pos="312"/>
        </w:tabs>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吴传剑">
    <w15:presenceInfo w15:providerId="WPS Office" w15:userId="2021433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kyMjA0NjkzOTQ1NGU3ODM4OTMyYTJiNzUxM2U1OWQifQ=="/>
    <w:docVar w:name="KSO_WPS_MARK_KEY" w:val="f9cbfca1-fc51-4475-9ce1-e643e808a9f4"/>
  </w:docVars>
  <w:rsids>
    <w:rsidRoot w:val="61212834"/>
    <w:rsid w:val="006A2EDF"/>
    <w:rsid w:val="00744534"/>
    <w:rsid w:val="00C91DFB"/>
    <w:rsid w:val="02A7209D"/>
    <w:rsid w:val="02C0233F"/>
    <w:rsid w:val="086556C2"/>
    <w:rsid w:val="09B81E39"/>
    <w:rsid w:val="0A1C52CE"/>
    <w:rsid w:val="0F07055B"/>
    <w:rsid w:val="12D94CC0"/>
    <w:rsid w:val="14A63EBD"/>
    <w:rsid w:val="14A72ECB"/>
    <w:rsid w:val="17654EDD"/>
    <w:rsid w:val="1CE13821"/>
    <w:rsid w:val="234F09CE"/>
    <w:rsid w:val="2372728F"/>
    <w:rsid w:val="24280A95"/>
    <w:rsid w:val="259E7AAD"/>
    <w:rsid w:val="2B5E2D5B"/>
    <w:rsid w:val="2EA31080"/>
    <w:rsid w:val="2EB05441"/>
    <w:rsid w:val="30B208F3"/>
    <w:rsid w:val="35614001"/>
    <w:rsid w:val="37942520"/>
    <w:rsid w:val="38DF101F"/>
    <w:rsid w:val="392B7DC0"/>
    <w:rsid w:val="396A3912"/>
    <w:rsid w:val="3C2433DA"/>
    <w:rsid w:val="40193E79"/>
    <w:rsid w:val="459504E7"/>
    <w:rsid w:val="481B05FD"/>
    <w:rsid w:val="48A5640C"/>
    <w:rsid w:val="4C006202"/>
    <w:rsid w:val="4F2140C9"/>
    <w:rsid w:val="50E61D67"/>
    <w:rsid w:val="537B1FCD"/>
    <w:rsid w:val="58E328A3"/>
    <w:rsid w:val="5C7D75CB"/>
    <w:rsid w:val="5D392904"/>
    <w:rsid w:val="5DC51930"/>
    <w:rsid w:val="5F8E2B71"/>
    <w:rsid w:val="5FEE28AB"/>
    <w:rsid w:val="605C0B96"/>
    <w:rsid w:val="61212834"/>
    <w:rsid w:val="62554B55"/>
    <w:rsid w:val="64A953A7"/>
    <w:rsid w:val="717A605E"/>
    <w:rsid w:val="72C86A5E"/>
    <w:rsid w:val="739C205C"/>
    <w:rsid w:val="77D61205"/>
    <w:rsid w:val="77F71B5A"/>
    <w:rsid w:val="7860158C"/>
    <w:rsid w:val="7B8E7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ind w:firstLine="420" w:firstLineChars="200"/>
      <w:jc w:val="both"/>
    </w:pPr>
    <w:rPr>
      <w:rFonts w:ascii="宋体" w:hAnsi="宋体" w:eastAsia="宋体" w:cs="宋体"/>
      <w:kern w:val="2"/>
      <w:sz w:val="24"/>
      <w:szCs w:val="28"/>
      <w:lang w:val="en-US" w:eastAsia="zh-CN" w:bidi="ar-SA"/>
    </w:rPr>
  </w:style>
  <w:style w:type="paragraph" w:styleId="3">
    <w:name w:val="heading 1"/>
    <w:basedOn w:val="1"/>
    <w:next w:val="1"/>
    <w:qFormat/>
    <w:uiPriority w:val="0"/>
    <w:pPr>
      <w:keepNext/>
      <w:keepLines/>
      <w:ind w:firstLine="0" w:firstLineChars="0"/>
      <w:jc w:val="center"/>
      <w:outlineLvl w:val="0"/>
    </w:pPr>
    <w:rPr>
      <w:b/>
      <w:bCs/>
      <w:kern w:val="44"/>
      <w:sz w:val="28"/>
      <w:szCs w:val="32"/>
    </w:rPr>
  </w:style>
  <w:style w:type="paragraph" w:styleId="4">
    <w:name w:val="heading 2"/>
    <w:basedOn w:val="1"/>
    <w:next w:val="1"/>
    <w:unhideWhenUsed/>
    <w:qFormat/>
    <w:uiPriority w:val="0"/>
    <w:pPr>
      <w:keepNext/>
      <w:keepLines/>
      <w:ind w:firstLine="0" w:firstLineChars="0"/>
      <w:jc w:val="left"/>
      <w:outlineLvl w:val="1"/>
    </w:pPr>
    <w:rPr>
      <w:b/>
      <w:bCs/>
      <w:szCs w:val="32"/>
    </w:rPr>
  </w:style>
  <w:style w:type="paragraph" w:styleId="2">
    <w:name w:val="heading 3"/>
    <w:basedOn w:val="1"/>
    <w:next w:val="1"/>
    <w:link w:val="28"/>
    <w:unhideWhenUsed/>
    <w:qFormat/>
    <w:uiPriority w:val="0"/>
    <w:pPr>
      <w:keepNext/>
      <w:keepLines/>
      <w:ind w:firstLine="0" w:firstLineChars="0"/>
      <w:jc w:val="left"/>
      <w:outlineLvl w:val="2"/>
    </w:pPr>
    <w:rPr>
      <w:b/>
      <w:bCs/>
      <w:szCs w:val="32"/>
    </w:rPr>
  </w:style>
  <w:style w:type="paragraph" w:styleId="5">
    <w:name w:val="heading 4"/>
    <w:basedOn w:val="1"/>
    <w:next w:val="1"/>
    <w:semiHidden/>
    <w:unhideWhenUsed/>
    <w:qFormat/>
    <w:uiPriority w:val="0"/>
    <w:pPr>
      <w:keepNext/>
      <w:keepLines/>
      <w:ind w:firstLine="0" w:firstLineChars="0"/>
      <w:jc w:val="left"/>
      <w:outlineLvl w:val="3"/>
    </w:pPr>
    <w:rPr>
      <w:b/>
      <w:bCs/>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adjustRightInd w:val="0"/>
      <w:snapToGrid w:val="0"/>
    </w:pPr>
  </w:style>
  <w:style w:type="paragraph" w:styleId="7">
    <w:name w:val="annotation text"/>
    <w:basedOn w:val="1"/>
    <w:link w:val="30"/>
    <w:qFormat/>
    <w:uiPriority w:val="0"/>
    <w:pPr>
      <w:widowControl/>
      <w:tabs>
        <w:tab w:val="left" w:pos="1134"/>
      </w:tabs>
      <w:adjustRightInd w:val="0"/>
      <w:snapToGrid w:val="0"/>
      <w:spacing w:line="280" w:lineRule="atLeast"/>
      <w:jc w:val="left"/>
    </w:pPr>
    <w:rPr>
      <w:rFonts w:eastAsia="PMingLiU"/>
      <w:kern w:val="0"/>
      <w:lang w:eastAsia="zh-TW"/>
    </w:rPr>
  </w:style>
  <w:style w:type="paragraph" w:styleId="8">
    <w:name w:val="Body Text"/>
    <w:basedOn w:val="1"/>
    <w:qFormat/>
    <w:uiPriority w:val="0"/>
    <w:rPr>
      <w:rFonts w:ascii="仿宋_GB2312" w:eastAsia="仿宋_GB2312"/>
      <w:sz w:val="32"/>
    </w:r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napToGrid w:val="0"/>
    </w:pPr>
    <w:rPr>
      <w:rFonts w:hAnsi="Courier New"/>
      <w:sz w:val="21"/>
    </w:rPr>
  </w:style>
  <w:style w:type="paragraph" w:styleId="12">
    <w:name w:val="Date"/>
    <w:basedOn w:val="1"/>
    <w:next w:val="1"/>
    <w:qFormat/>
    <w:uiPriority w:val="0"/>
  </w:style>
  <w:style w:type="paragraph" w:styleId="13">
    <w:name w:val="Balloon Text"/>
    <w:basedOn w:val="1"/>
    <w:link w:val="29"/>
    <w:qFormat/>
    <w:uiPriority w:val="0"/>
    <w:pPr>
      <w:spacing w:line="240" w:lineRule="auto"/>
    </w:pPr>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annotation subject"/>
    <w:basedOn w:val="7"/>
    <w:next w:val="7"/>
    <w:link w:val="31"/>
    <w:qFormat/>
    <w:uiPriority w:val="0"/>
    <w:pPr>
      <w:widowControl w:val="0"/>
      <w:tabs>
        <w:tab w:val="clear" w:pos="1134"/>
      </w:tabs>
      <w:adjustRightInd/>
      <w:snapToGrid/>
      <w:spacing w:line="360" w:lineRule="auto"/>
    </w:pPr>
    <w:rPr>
      <w:rFonts w:eastAsia="宋体"/>
      <w:b/>
      <w:bCs/>
      <w:kern w:val="2"/>
      <w:lang w:eastAsia="zh-CN"/>
    </w:rPr>
  </w:style>
  <w:style w:type="paragraph" w:styleId="19">
    <w:name w:val="Body Text First Indent"/>
    <w:basedOn w:val="8"/>
    <w:qFormat/>
    <w:uiPriority w:val="0"/>
    <w:pPr>
      <w:spacing w:line="360" w:lineRule="auto"/>
      <w:ind w:firstLine="420"/>
    </w:pPr>
    <w:rPr>
      <w:rFonts w:ascii="宋体" w:hAnsi="宋体"/>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qFormat/>
    <w:uiPriority w:val="0"/>
  </w:style>
  <w:style w:type="character" w:styleId="24">
    <w:name w:val="annotation reference"/>
    <w:basedOn w:val="22"/>
    <w:qFormat/>
    <w:uiPriority w:val="0"/>
    <w:rPr>
      <w:sz w:val="21"/>
      <w:szCs w:val="21"/>
    </w:rPr>
  </w:style>
  <w:style w:type="paragraph" w:customStyle="1" w:styleId="25">
    <w:name w:val="样式1"/>
    <w:basedOn w:val="1"/>
    <w:link w:val="27"/>
    <w:qFormat/>
    <w:uiPriority w:val="0"/>
    <w:pPr>
      <w:ind w:firstLine="0" w:firstLineChars="0"/>
      <w:jc w:val="center"/>
    </w:pPr>
  </w:style>
  <w:style w:type="paragraph" w:customStyle="1" w:styleId="26">
    <w:name w:val="xl40"/>
    <w:basedOn w:val="1"/>
    <w:qFormat/>
    <w:uiPriority w:val="0"/>
    <w:pPr>
      <w:widowControl/>
      <w:pBdr>
        <w:left w:val="single" w:color="auto" w:sz="4" w:space="0"/>
        <w:right w:val="single" w:color="auto" w:sz="4" w:space="0"/>
      </w:pBdr>
      <w:spacing w:before="100" w:beforeAutospacing="1" w:after="100" w:afterAutospacing="1"/>
      <w:jc w:val="center"/>
    </w:pPr>
    <w:rPr>
      <w:kern w:val="0"/>
    </w:rPr>
  </w:style>
  <w:style w:type="character" w:customStyle="1" w:styleId="27">
    <w:name w:val="样式1 Char"/>
    <w:link w:val="25"/>
    <w:qFormat/>
    <w:uiPriority w:val="0"/>
    <w:rPr>
      <w:rFonts w:ascii="宋体" w:hAnsi="宋体"/>
    </w:rPr>
  </w:style>
  <w:style w:type="character" w:customStyle="1" w:styleId="28">
    <w:name w:val="标题 3 字符"/>
    <w:link w:val="2"/>
    <w:qFormat/>
    <w:uiPriority w:val="0"/>
    <w:rPr>
      <w:b/>
      <w:bCs/>
      <w:sz w:val="24"/>
      <w:szCs w:val="32"/>
    </w:rPr>
  </w:style>
  <w:style w:type="character" w:customStyle="1" w:styleId="29">
    <w:name w:val="批注框文本 字符"/>
    <w:basedOn w:val="22"/>
    <w:link w:val="13"/>
    <w:qFormat/>
    <w:uiPriority w:val="0"/>
    <w:rPr>
      <w:rFonts w:ascii="宋体" w:hAnsi="宋体" w:eastAsia="宋体" w:cs="宋体"/>
      <w:kern w:val="2"/>
      <w:sz w:val="18"/>
      <w:szCs w:val="18"/>
    </w:rPr>
  </w:style>
  <w:style w:type="character" w:customStyle="1" w:styleId="30">
    <w:name w:val="批注文字 字符"/>
    <w:basedOn w:val="22"/>
    <w:link w:val="7"/>
    <w:qFormat/>
    <w:uiPriority w:val="0"/>
    <w:rPr>
      <w:rFonts w:ascii="宋体" w:hAnsi="宋体" w:eastAsia="PMingLiU" w:cs="宋体"/>
      <w:sz w:val="24"/>
      <w:szCs w:val="28"/>
      <w:lang w:eastAsia="zh-TW"/>
    </w:rPr>
  </w:style>
  <w:style w:type="character" w:customStyle="1" w:styleId="31">
    <w:name w:val="批注主题 字符"/>
    <w:basedOn w:val="30"/>
    <w:link w:val="18"/>
    <w:qFormat/>
    <w:uiPriority w:val="0"/>
    <w:rPr>
      <w:rFonts w:ascii="宋体" w:hAnsi="宋体" w:eastAsia="宋体" w:cs="宋体"/>
      <w:b/>
      <w:bCs/>
      <w:kern w:val="2"/>
      <w:sz w:val="24"/>
      <w:szCs w:val="28"/>
      <w:lang w:eastAsia="zh-TW"/>
    </w:rPr>
  </w:style>
  <w:style w:type="paragraph" w:customStyle="1" w:styleId="32">
    <w:name w:val="p0"/>
    <w:basedOn w:val="1"/>
    <w:qFormat/>
    <w:uiPriority w:val="99"/>
    <w:pPr>
      <w:widowControl/>
    </w:pPr>
    <w:rPr>
      <w:rFonts w:ascii="Calibri" w:hAnsi="Calibri"/>
      <w:kern w:val="0"/>
      <w:sz w:val="20"/>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24304</Words>
  <Characters>25465</Characters>
  <Lines>234</Lines>
  <Paragraphs>65</Paragraphs>
  <TotalTime>4</TotalTime>
  <ScaleCrop>false</ScaleCrop>
  <LinksUpToDate>false</LinksUpToDate>
  <CharactersWithSpaces>27170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2023-12-15T02:59:00Z</dcterms:created>
  <dc:creator>Administrator</dc:creator>
  <cp:lastModifiedBy>许沁欣</cp:lastModifiedBy>
  <dcterms:modified xsi:type="dcterms:W3CDTF">2024-01-08T07:23:39Z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6DC10B15BB8446E5A0547EE0B8AF4283_13</vt:lpwstr>
  </property>
</Properties>
</file>